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1" w:rsidRPr="00720D2F" w:rsidRDefault="002C03C1" w:rsidP="002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720D2F">
        <w:rPr>
          <w:rFonts w:ascii="Times New Roman" w:hAnsi="Times New Roman"/>
          <w:b/>
          <w:sz w:val="30"/>
          <w:szCs w:val="30"/>
        </w:rPr>
        <w:t>Об электронных сервисах налоговых органов</w:t>
      </w:r>
    </w:p>
    <w:p w:rsidR="002C03C1" w:rsidRPr="00720D2F" w:rsidRDefault="002C03C1" w:rsidP="002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2C03C1" w:rsidP="002C0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На главной странице официального сайта Министерства по налогам и сборам (nalog.gov.by) в разделе «Электронные сервисы» представлены следующие открытые электронные сервисы для физических лиц:</w:t>
      </w:r>
    </w:p>
    <w:p w:rsidR="002C03C1" w:rsidRPr="00720D2F" w:rsidRDefault="002C03C1" w:rsidP="002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5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Государственный реестр плательщиков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103505</wp:posOffset>
            </wp:positionV>
            <wp:extent cx="260985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1442" y="21190"/>
                <wp:lineTo x="2144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840" b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Предусмотрен для поиска и просмотра информации из Государственного реестра плательщиков (иных обязанных лиц).</w:t>
      </w:r>
    </w:p>
    <w:p w:rsidR="002C03C1" w:rsidRPr="00720D2F" w:rsidRDefault="002C03C1" w:rsidP="002C03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 xml:space="preserve">Поиск осуществляется отдельно по организациям, и индивидуальным предпринимателям и физическим лицам. Возможен поиск по УНП, наименованию организации, фамилии, имени, отчеству физического лица либо по части наименования или фамилии. </w:t>
      </w:r>
    </w:p>
    <w:p w:rsidR="002C03C1" w:rsidRPr="00720D2F" w:rsidRDefault="002C03C1" w:rsidP="002C03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 xml:space="preserve">Для автоматизированного использования в сторонних информационных системах организовано получение информации в формате </w:t>
      </w:r>
      <w:r w:rsidRPr="00720D2F">
        <w:rPr>
          <w:rFonts w:ascii="Times New Roman" w:hAnsi="Times New Roman"/>
          <w:sz w:val="30"/>
          <w:szCs w:val="30"/>
          <w:lang w:val="en-US"/>
        </w:rPr>
        <w:t>xml</w:t>
      </w:r>
      <w:r w:rsidRPr="00720D2F">
        <w:rPr>
          <w:rFonts w:ascii="Times New Roman" w:hAnsi="Times New Roman"/>
          <w:sz w:val="30"/>
          <w:szCs w:val="30"/>
        </w:rPr>
        <w:t>.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7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Реестр субъектов с повышенным риском совершения правонарушений в экономической сфере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113665</wp:posOffset>
            </wp:positionV>
            <wp:extent cx="2830830" cy="845185"/>
            <wp:effectExtent l="0" t="0" r="7620" b="0"/>
            <wp:wrapThrough wrapText="bothSides">
              <wp:wrapPolygon edited="0">
                <wp:start x="0" y="0"/>
                <wp:lineTo x="0" y="20935"/>
                <wp:lineTo x="21513" y="20935"/>
                <wp:lineTo x="21513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Предусмотрен для поиска и просмотра информации о плательщиках, ранее включенных в Реестр субъектов с повышенным риском совершения правонарушений в экономической сфере. Информация в реестре отражена на 31.12.2018.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9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Налоговый калькулятор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5715</wp:posOffset>
            </wp:positionV>
            <wp:extent cx="2701290" cy="554355"/>
            <wp:effectExtent l="0" t="0" r="3810" b="0"/>
            <wp:wrapThrough wrapText="bothSides">
              <wp:wrapPolygon edited="0">
                <wp:start x="0" y="0"/>
                <wp:lineTo x="0" y="20784"/>
                <wp:lineTo x="21478" y="20784"/>
                <wp:lineTo x="21478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Предусмотрен для расчета суммы налогов к уплате в части следующих налогов: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 xml:space="preserve">налог при упрощенной системе налогообложения, 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 xml:space="preserve">подоходный налог с доходов от предпринимательской деятельности, 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 xml:space="preserve">единый налог на вмененный доход, 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>единый налог для производителей сельхозпродукции,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 xml:space="preserve">единый налог по одному обслуживающему объекту для ИП, выполняющих работы (оказывающих услуги), 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 xml:space="preserve">единый налог по одному торговому объекту (месту), объекту </w:t>
      </w:r>
      <w:r w:rsidRPr="00720D2F">
        <w:rPr>
          <w:color w:val="000000"/>
        </w:rPr>
        <w:lastRenderedPageBreak/>
        <w:t>общественного питания для ИП, осуществляющих розничную торговлю и общественное питание,</w:t>
      </w:r>
    </w:p>
    <w:p w:rsidR="002C03C1" w:rsidRPr="00720D2F" w:rsidRDefault="002C03C1" w:rsidP="002C03C1">
      <w:pPr>
        <w:pStyle w:val="Style2"/>
        <w:numPr>
          <w:ilvl w:val="0"/>
          <w:numId w:val="1"/>
        </w:numPr>
        <w:shd w:val="clear" w:color="auto" w:fill="auto"/>
        <w:spacing w:after="0" w:line="240" w:lineRule="auto"/>
        <w:ind w:left="0" w:firstLine="600"/>
        <w:jc w:val="both"/>
        <w:rPr>
          <w:color w:val="000000"/>
        </w:rPr>
      </w:pPr>
      <w:r w:rsidRPr="00720D2F">
        <w:rPr>
          <w:color w:val="000000"/>
        </w:rPr>
        <w:t xml:space="preserve"> земельный налог (кадастровая стоимость земельного участка и сумма земельного налога).</w:t>
      </w:r>
    </w:p>
    <w:p w:rsidR="002C03C1" w:rsidRPr="00720D2F" w:rsidRDefault="002C03C1" w:rsidP="002C03C1">
      <w:pPr>
        <w:pStyle w:val="Style2"/>
        <w:shd w:val="clear" w:color="auto" w:fill="auto"/>
        <w:spacing w:after="0" w:line="240" w:lineRule="auto"/>
        <w:jc w:val="both"/>
        <w:rPr>
          <w:color w:val="000000"/>
        </w:rPr>
      </w:pPr>
    </w:p>
    <w:p w:rsidR="002C03C1" w:rsidRPr="00720D2F" w:rsidRDefault="003A6A24" w:rsidP="002C03C1">
      <w:pPr>
        <w:pStyle w:val="Style2"/>
        <w:shd w:val="clear" w:color="auto" w:fill="auto"/>
        <w:spacing w:after="0" w:line="240" w:lineRule="auto"/>
        <w:jc w:val="both"/>
        <w:rPr>
          <w:b/>
          <w:color w:val="000000"/>
        </w:rPr>
      </w:pPr>
      <w:hyperlink r:id="rId11" w:history="1">
        <w:r w:rsidR="002C03C1" w:rsidRPr="00720D2F">
          <w:rPr>
            <w:rStyle w:val="a3"/>
            <w:b/>
          </w:rPr>
          <w:t>Нормативные и методические материалы налоговых органов для организаций и ИП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219710</wp:posOffset>
            </wp:positionV>
            <wp:extent cx="2792095" cy="702310"/>
            <wp:effectExtent l="0" t="0" r="8255" b="2540"/>
            <wp:wrapThrough wrapText="bothSides">
              <wp:wrapPolygon edited="0">
                <wp:start x="0" y="0"/>
                <wp:lineTo x="0" y="21092"/>
                <wp:lineTo x="21516" y="21092"/>
                <wp:lineTo x="2151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417" b="1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 xml:space="preserve">Предусмотрен для поиска и просмотра нормативных и методических материалов налоговых органов. 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Содержит следующие разделы отдельно для организаций и индивидуальных предпринимателей:</w:t>
      </w:r>
    </w:p>
    <w:p w:rsidR="002C03C1" w:rsidRPr="00720D2F" w:rsidRDefault="002C03C1" w:rsidP="002C03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Нормативные материалы Министерства по налогам и сборам Республики Беларусь.</w:t>
      </w:r>
    </w:p>
    <w:p w:rsidR="002C03C1" w:rsidRPr="00720D2F" w:rsidRDefault="002C03C1" w:rsidP="002C03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Комментарии к нормативным правовым актам, относящимся к деятельности налоговых органов.</w:t>
      </w:r>
    </w:p>
    <w:p w:rsidR="002C03C1" w:rsidRPr="00720D2F" w:rsidRDefault="002C03C1" w:rsidP="002C03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Разъяснения (письма) налогового законодательства, направленные в адрес подведомственных инспекций.</w:t>
      </w:r>
    </w:p>
    <w:p w:rsidR="002C03C1" w:rsidRPr="00720D2F" w:rsidRDefault="002C03C1" w:rsidP="002C03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Разъяснения (письма) налогового законодательства подведомственных инспекций.</w:t>
      </w:r>
    </w:p>
    <w:p w:rsidR="002C03C1" w:rsidRPr="00720D2F" w:rsidRDefault="002C03C1" w:rsidP="002C03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Часто задаваемые вопросы.</w:t>
      </w:r>
    </w:p>
    <w:p w:rsidR="002C03C1" w:rsidRPr="00720D2F" w:rsidRDefault="002C03C1" w:rsidP="002C03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Предусмотрен удобный поиск необходимого материала по названию, тематике, периоду.</w:t>
      </w:r>
    </w:p>
    <w:p w:rsidR="002C03C1" w:rsidRPr="00720D2F" w:rsidRDefault="002C03C1" w:rsidP="002C03C1">
      <w:pPr>
        <w:pStyle w:val="Style2"/>
        <w:shd w:val="clear" w:color="auto" w:fill="auto"/>
        <w:spacing w:after="0" w:line="240" w:lineRule="auto"/>
        <w:jc w:val="both"/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13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Форум налоговых органов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7620</wp:posOffset>
            </wp:positionV>
            <wp:extent cx="2754630" cy="522605"/>
            <wp:effectExtent l="0" t="0" r="7620" b="0"/>
            <wp:wrapThrough wrapText="bothSides">
              <wp:wrapPolygon edited="0">
                <wp:start x="0" y="0"/>
                <wp:lineTo x="0" y="20471"/>
                <wp:lineTo x="21510" y="20471"/>
                <wp:lineTo x="2151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71" b="3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Площадка для выявления и обсуждения актуальных вопросов в деятельности налоговых органов.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15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Сведения о задолженности по налоговым платежам в бюджет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42545</wp:posOffset>
            </wp:positionV>
            <wp:extent cx="265303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04" y="20881"/>
                <wp:lineTo x="2140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42" b="2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Предусмотрен для поиска и просмотра информации о наличии задолженности плательщиков по налогам, сборам (пошлинам) и пеням по состоянию на первое число каждого месяца. С 01.01.2019 предусмотрено отражение даты погашения задолженности по срокам 2019 года.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hyperlink r:id="rId17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Мобильное приложение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177165</wp:posOffset>
            </wp:positionV>
            <wp:extent cx="2556510" cy="617855"/>
            <wp:effectExtent l="0" t="0" r="0" b="0"/>
            <wp:wrapThrough wrapText="bothSides">
              <wp:wrapPolygon edited="0">
                <wp:start x="0" y="0"/>
                <wp:lineTo x="0" y="20645"/>
                <wp:lineTo x="21407" y="20645"/>
                <wp:lineTo x="214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659" b="2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color w:val="000000"/>
          <w:sz w:val="30"/>
          <w:szCs w:val="30"/>
        </w:rPr>
        <w:t>Мобильное приложение разработано для физических лиц, в нем реализованы следующие возможности: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 xml:space="preserve">подача заявки на получение </w:t>
      </w:r>
      <w:r w:rsidRPr="00720D2F">
        <w:rPr>
          <w:rFonts w:ascii="Times New Roman" w:hAnsi="Times New Roman"/>
          <w:color w:val="000000"/>
          <w:sz w:val="30"/>
          <w:szCs w:val="30"/>
        </w:rPr>
        <w:lastRenderedPageBreak/>
        <w:t>оперативных документов из учетной системы налоговых органов;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запись на личный прием к руководству инспекций;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получение извещений налогового органа на уплату земельного налога и (или) налога на недвижимость, подоходного налога и единого налога с физических лиц;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получение информации по объектам недвижимости;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получение информации по предъявленным к оплате налоговым платежам;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просмотр направленных документов из налоговых органов;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оценка приложения;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просмотр новостей;</w:t>
      </w:r>
    </w:p>
    <w:p w:rsidR="002C03C1" w:rsidRPr="00720D2F" w:rsidRDefault="002C03C1" w:rsidP="002C03C1">
      <w:pPr>
        <w:pStyle w:val="a4"/>
        <w:numPr>
          <w:ilvl w:val="0"/>
          <w:numId w:val="3"/>
        </w:numPr>
        <w:spacing w:after="0" w:line="240" w:lineRule="auto"/>
        <w:ind w:left="600" w:hanging="283"/>
        <w:jc w:val="both"/>
        <w:rPr>
          <w:rFonts w:ascii="Times New Roman" w:hAnsi="Times New Roman"/>
          <w:color w:val="000000"/>
          <w:sz w:val="30"/>
          <w:szCs w:val="30"/>
        </w:rPr>
      </w:pPr>
      <w:r w:rsidRPr="00720D2F">
        <w:rPr>
          <w:rFonts w:ascii="Times New Roman" w:hAnsi="Times New Roman"/>
          <w:color w:val="000000"/>
          <w:sz w:val="30"/>
          <w:szCs w:val="30"/>
        </w:rPr>
        <w:t>налоговый калькулятор.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hyperlink r:id="rId19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Заявка на доступ к личному кабинету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113030</wp:posOffset>
            </wp:positionV>
            <wp:extent cx="271018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08" y="20661"/>
                <wp:lineTo x="214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pacing w:val="-10"/>
          <w:sz w:val="30"/>
          <w:szCs w:val="30"/>
        </w:rPr>
        <w:t>Предназначе</w:t>
      </w:r>
      <w:r w:rsidRPr="00720D2F">
        <w:rPr>
          <w:rFonts w:ascii="Times New Roman" w:hAnsi="Times New Roman"/>
          <w:sz w:val="30"/>
          <w:szCs w:val="30"/>
        </w:rPr>
        <w:t xml:space="preserve">н для физических лиц для реализации заполнения и направления на портал МНС заявки в электронном виде на получение логина и пароля для входа в личный кабинет плательщика физического лица. </w:t>
      </w:r>
    </w:p>
    <w:p w:rsidR="002C03C1" w:rsidRPr="00720D2F" w:rsidRDefault="002C03C1" w:rsidP="002C03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После получения заявки на электронный адрес, указанный в ней, плательщику будет направлено уведомление о необходимости посещения налогового органа по его выбору для получения идентификационного кода и пароля для работы в личном кабинете.</w:t>
      </w:r>
    </w:p>
    <w:p w:rsidR="002C03C1" w:rsidRPr="00720D2F" w:rsidRDefault="002C03C1" w:rsidP="002C03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hyperlink r:id="rId21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Сервис для поиска информации о ставках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104140</wp:posOffset>
            </wp:positionV>
            <wp:extent cx="2683510" cy="635000"/>
            <wp:effectExtent l="0" t="0" r="2540" b="0"/>
            <wp:wrapThrough wrapText="bothSides">
              <wp:wrapPolygon edited="0">
                <wp:start x="0" y="0"/>
                <wp:lineTo x="0" y="20736"/>
                <wp:lineTo x="21467" y="20736"/>
                <wp:lineTo x="2146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Предназначен для поиска и просмотра справочной информации о ставках отдельных налогов</w:t>
      </w:r>
      <w:r w:rsidRPr="00720D2F">
        <w:rPr>
          <w:rFonts w:ascii="Times New Roman" w:hAnsi="Times New Roman"/>
          <w:spacing w:val="-10"/>
          <w:sz w:val="30"/>
          <w:szCs w:val="30"/>
        </w:rPr>
        <w:t>.</w:t>
      </w:r>
    </w:p>
    <w:p w:rsidR="002C03C1" w:rsidRPr="00720D2F" w:rsidRDefault="002C03C1" w:rsidP="002C03C1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Сервис содержит следующие разделы:</w:t>
      </w:r>
    </w:p>
    <w:p w:rsidR="002C03C1" w:rsidRPr="00720D2F" w:rsidRDefault="002C03C1" w:rsidP="002C03C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 xml:space="preserve">Сервис для поиска информации о размере подоходного налога, </w:t>
      </w:r>
    </w:p>
    <w:p w:rsidR="002C03C1" w:rsidRPr="00720D2F" w:rsidRDefault="002C03C1" w:rsidP="002C03C1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textnormal14bold1"/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Сервис для поиска информации о</w:t>
      </w:r>
      <w:r w:rsidRPr="00720D2F">
        <w:rPr>
          <w:rStyle w:val="textnormal14bold1"/>
          <w:rFonts w:ascii="Times New Roman" w:hAnsi="Times New Roman"/>
          <w:sz w:val="30"/>
          <w:szCs w:val="30"/>
        </w:rPr>
        <w:t xml:space="preserve"> размере единого налога по одному обслуживающему объекту для ИП, выполняющих работы (оказывающих услуги),</w:t>
      </w:r>
    </w:p>
    <w:p w:rsidR="002C03C1" w:rsidRPr="00720D2F" w:rsidRDefault="002C03C1" w:rsidP="002C03C1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textnormal14bold1"/>
          <w:rFonts w:ascii="Times New Roman" w:hAnsi="Times New Roman"/>
          <w:sz w:val="30"/>
          <w:szCs w:val="30"/>
        </w:rPr>
      </w:pPr>
      <w:r w:rsidRPr="00720D2F">
        <w:rPr>
          <w:rStyle w:val="textnormal14bold1"/>
          <w:rFonts w:ascii="Times New Roman" w:hAnsi="Times New Roman"/>
          <w:sz w:val="30"/>
          <w:szCs w:val="30"/>
        </w:rPr>
        <w:t xml:space="preserve"> Сервис для поиска информации о размере единого налога по одному торговому объекту (месту), объекту общественного питания для ИП, осуществляющих розничную торговлю и общественное питание,</w:t>
      </w:r>
    </w:p>
    <w:p w:rsidR="002C03C1" w:rsidRPr="00720D2F" w:rsidRDefault="002C03C1" w:rsidP="002C03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20D2F">
        <w:rPr>
          <w:rFonts w:ascii="Times New Roman" w:hAnsi="Times New Roman"/>
          <w:sz w:val="30"/>
          <w:szCs w:val="30"/>
        </w:rPr>
        <w:t>Сервис для поиска информации для физических лиц, не осуществляющих предпринимательскую деятельность, о размере единого налога по виду деятельности, не относящемуся к предпринимательской деятельности Налогового кодекса.</w:t>
      </w:r>
    </w:p>
    <w:p w:rsidR="002C03C1" w:rsidRPr="00720D2F" w:rsidRDefault="002C03C1" w:rsidP="002C03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23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Создай свой бизнес</w:t>
        </w:r>
      </w:hyperlink>
    </w:p>
    <w:p w:rsidR="002C03C1" w:rsidRPr="00720D2F" w:rsidRDefault="002C03C1" w:rsidP="002C03C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125095</wp:posOffset>
            </wp:positionV>
            <wp:extent cx="2626995" cy="586105"/>
            <wp:effectExtent l="0" t="0" r="1905" b="4445"/>
            <wp:wrapThrough wrapText="bothSides">
              <wp:wrapPolygon edited="0">
                <wp:start x="0" y="0"/>
                <wp:lineTo x="0" y="21062"/>
                <wp:lineTo x="21459" y="21062"/>
                <wp:lineTo x="2145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Представляет пошаговую инструкцию для начинающих бизнесменов, как индивидуальных предпринимателей, так и организаций. Сервис предоставит информацию, необходимую для выбора формы регистрации в качестве плательщика, режима налогообложения, сведений о порядке использования кассового оборудования, платежных терминалов и др.</w:t>
      </w:r>
    </w:p>
    <w:p w:rsidR="002C03C1" w:rsidRPr="00720D2F" w:rsidRDefault="002C03C1" w:rsidP="002C03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25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Налогообложение физических лиц и ответы на актуальные вопросы плательщиков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150495</wp:posOffset>
            </wp:positionV>
            <wp:extent cx="2647950" cy="755015"/>
            <wp:effectExtent l="0" t="0" r="0" b="6985"/>
            <wp:wrapThrough wrapText="bothSides">
              <wp:wrapPolygon edited="0">
                <wp:start x="0" y="0"/>
                <wp:lineTo x="0" y="21255"/>
                <wp:lineTo x="21445" y="21255"/>
                <wp:lineTo x="2144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18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</w:rPr>
        <w:t>Сервис с</w:t>
      </w:r>
      <w:r w:rsidRPr="00720D2F">
        <w:rPr>
          <w:rFonts w:ascii="Times New Roman" w:hAnsi="Times New Roman"/>
          <w:sz w:val="30"/>
          <w:szCs w:val="30"/>
          <w:lang w:eastAsia="ru-RU"/>
        </w:rPr>
        <w:t>оздан для повышения качества информирования плательщиков физических лиц.</w:t>
      </w:r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20D2F">
        <w:rPr>
          <w:rFonts w:ascii="Times New Roman" w:hAnsi="Times New Roman"/>
          <w:sz w:val="30"/>
          <w:szCs w:val="30"/>
          <w:lang w:eastAsia="ru-RU"/>
        </w:rPr>
        <w:t>Кроме разъяснения норм налогового законодательства здесь собрана база ответов на самые актуальные вопросы плательщиков о действующем налоговом законодательстве, ставках налогов для физических лиц, льготах, о порядке взаимодействия с налоговыми органами и т.д.</w:t>
      </w:r>
    </w:p>
    <w:p w:rsidR="002C03C1" w:rsidRPr="00720D2F" w:rsidRDefault="002C03C1" w:rsidP="002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03C1" w:rsidRPr="00720D2F" w:rsidRDefault="003A6A24" w:rsidP="002C0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hyperlink r:id="rId27" w:history="1">
        <w:r w:rsidR="002C03C1" w:rsidRPr="00720D2F">
          <w:rPr>
            <w:rStyle w:val="a3"/>
            <w:rFonts w:ascii="Times New Roman" w:hAnsi="Times New Roman"/>
            <w:b/>
            <w:sz w:val="30"/>
            <w:szCs w:val="30"/>
          </w:rPr>
          <w:t>Личный прием руководством инспекций</w:t>
        </w:r>
      </w:hyperlink>
    </w:p>
    <w:p w:rsidR="002C03C1" w:rsidRPr="00720D2F" w:rsidRDefault="002C03C1" w:rsidP="002C03C1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174625</wp:posOffset>
            </wp:positionV>
            <wp:extent cx="2632710" cy="554355"/>
            <wp:effectExtent l="0" t="0" r="0" b="0"/>
            <wp:wrapThrough wrapText="bothSides">
              <wp:wrapPolygon edited="0">
                <wp:start x="0" y="0"/>
                <wp:lineTo x="0" y="20784"/>
                <wp:lineTo x="21412" y="20784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11" b="3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2F">
        <w:rPr>
          <w:rFonts w:ascii="Times New Roman" w:hAnsi="Times New Roman"/>
          <w:sz w:val="30"/>
          <w:szCs w:val="30"/>
          <w:lang w:eastAsia="ru-RU"/>
        </w:rPr>
        <w:t>Предусмотрен для просмотра расписания личного приема должностными лицами налоговых органов. Запись на прием осуществляется в личном кабинете плательщика.</w:t>
      </w:r>
    </w:p>
    <w:p w:rsidR="002C03C1" w:rsidRPr="00720D2F" w:rsidRDefault="002C03C1" w:rsidP="002C03C1">
      <w:pPr>
        <w:pStyle w:val="ConsPlusNormal"/>
        <w:widowControl w:val="0"/>
        <w:ind w:firstLine="567"/>
        <w:jc w:val="both"/>
        <w:rPr>
          <w:sz w:val="30"/>
          <w:szCs w:val="30"/>
        </w:rPr>
      </w:pPr>
      <w:r w:rsidRPr="00720D2F">
        <w:rPr>
          <w:sz w:val="30"/>
          <w:szCs w:val="30"/>
        </w:rPr>
        <w:t>Введена в эксплуатацию новая версия Личного кабинета плательщика, в которой представлены электронные сервисы для всех категорий плательщиков, как организаций, так и для физических лиц и индивидуальных предпринимателей. Отличительной особенностью новой версии личного кабинета плательщика стало то, что он стал единым для организаций, физических лиц и индивидуальных предпринимателей.</w:t>
      </w:r>
    </w:p>
    <w:p w:rsidR="002C03C1" w:rsidRPr="00720D2F" w:rsidRDefault="002C03C1" w:rsidP="002C03C1">
      <w:pPr>
        <w:pStyle w:val="ConsPlusNormal"/>
        <w:widowControl w:val="0"/>
        <w:ind w:firstLine="0"/>
        <w:jc w:val="right"/>
        <w:rPr>
          <w:sz w:val="30"/>
          <w:szCs w:val="30"/>
        </w:rPr>
      </w:pPr>
    </w:p>
    <w:p w:rsidR="00DC4215" w:rsidRDefault="00DC4215" w:rsidP="00DC4215">
      <w:pPr>
        <w:pStyle w:val="ConsPlusNormal"/>
        <w:ind w:firstLine="54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Инспекция Министерства по налогам и сборам </w:t>
      </w:r>
    </w:p>
    <w:p w:rsidR="00DC4215" w:rsidRDefault="00DC4215" w:rsidP="00DC4215">
      <w:pPr>
        <w:pStyle w:val="ConsPlusNormal"/>
        <w:ind w:firstLine="540"/>
        <w:jc w:val="right"/>
        <w:rPr>
          <w:rFonts w:ascii="Calibri" w:hAnsi="Calibri" w:cs="Calibri"/>
          <w:sz w:val="22"/>
          <w:szCs w:val="20"/>
        </w:rPr>
      </w:pPr>
      <w:r>
        <w:rPr>
          <w:sz w:val="30"/>
          <w:szCs w:val="30"/>
        </w:rPr>
        <w:t>Республики Беларусь по Кричевскому району</w:t>
      </w:r>
      <w:bookmarkStart w:id="0" w:name="_GoBack"/>
      <w:bookmarkEnd w:id="0"/>
    </w:p>
    <w:sectPr w:rsidR="00DC4215" w:rsidSect="00DC42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C1"/>
    <w:rsid w:val="00064132"/>
    <w:rsid w:val="002C03C1"/>
    <w:rsid w:val="003A6A24"/>
    <w:rsid w:val="008B5A69"/>
    <w:rsid w:val="009D08FD"/>
    <w:rsid w:val="00DC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3C1"/>
    <w:rPr>
      <w:color w:val="0563C1"/>
      <w:u w:val="single"/>
    </w:rPr>
  </w:style>
  <w:style w:type="paragraph" w:customStyle="1" w:styleId="ConsPlusNormal">
    <w:name w:val="ConsPlusNormal"/>
    <w:rsid w:val="002C03C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C03C1"/>
    <w:pPr>
      <w:ind w:left="720"/>
      <w:contextualSpacing/>
    </w:pPr>
    <w:rPr>
      <w:rFonts w:eastAsia="Calibri"/>
    </w:rPr>
  </w:style>
  <w:style w:type="character" w:customStyle="1" w:styleId="CharStyle3">
    <w:name w:val="Char Style 3"/>
    <w:link w:val="Style2"/>
    <w:uiPriority w:val="99"/>
    <w:locked/>
    <w:rsid w:val="002C03C1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C03C1"/>
    <w:pPr>
      <w:widowControl w:val="0"/>
      <w:shd w:val="clear" w:color="auto" w:fill="FFFFFF"/>
      <w:spacing w:after="360" w:line="278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textnormal14bold1">
    <w:name w:val="textnormal14bold1"/>
    <w:rsid w:val="002C03C1"/>
    <w:rPr>
      <w:rFonts w:ascii="Arial" w:hAnsi="Arial" w:cs="Arial" w:hint="default"/>
      <w:b w:val="0"/>
      <w:bC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3C1"/>
    <w:rPr>
      <w:color w:val="0563C1"/>
      <w:u w:val="single"/>
    </w:rPr>
  </w:style>
  <w:style w:type="paragraph" w:customStyle="1" w:styleId="ConsPlusNormal">
    <w:name w:val="ConsPlusNormal"/>
    <w:rsid w:val="002C03C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C03C1"/>
    <w:pPr>
      <w:ind w:left="720"/>
      <w:contextualSpacing/>
    </w:pPr>
    <w:rPr>
      <w:rFonts w:eastAsia="Calibri"/>
    </w:rPr>
  </w:style>
  <w:style w:type="character" w:customStyle="1" w:styleId="CharStyle3">
    <w:name w:val="Char Style 3"/>
    <w:link w:val="Style2"/>
    <w:uiPriority w:val="99"/>
    <w:locked/>
    <w:rsid w:val="002C03C1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C03C1"/>
    <w:pPr>
      <w:widowControl w:val="0"/>
      <w:shd w:val="clear" w:color="auto" w:fill="FFFFFF"/>
      <w:spacing w:after="360" w:line="278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</w:rPr>
  </w:style>
  <w:style w:type="character" w:customStyle="1" w:styleId="textnormal14bold1">
    <w:name w:val="textnormal14bold1"/>
    <w:rsid w:val="002C03C1"/>
    <w:rPr>
      <w:rFonts w:ascii="Arial" w:hAnsi="Arial" w:cs="Arial" w:hint="default"/>
      <w:b w:val="0"/>
      <w:bCs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rum.nalog.gov.by/index.php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portal.nalog.gov.by/web/nalog/info_stavki" TargetMode="External"/><Relationship Id="rId7" Type="http://schemas.openxmlformats.org/officeDocument/2006/relationships/hyperlink" Target="http://www.portal.nalog.gov.by/ngb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nalog.gov.by/ru/mobilnoe-prilojenie/" TargetMode="External"/><Relationship Id="rId25" Type="http://schemas.openxmlformats.org/officeDocument/2006/relationships/hyperlink" Target="http://www.portal.nalog.gov.by/web/nalog/taxationservic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nalog.gov.by/web/nalog/normdocs_view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://www.portal.nalog.gov.by/grp/" TargetMode="External"/><Relationship Id="rId15" Type="http://schemas.openxmlformats.org/officeDocument/2006/relationships/hyperlink" Target="http://www.portal.nalog.gov.by/debtor" TargetMode="External"/><Relationship Id="rId23" Type="http://schemas.openxmlformats.org/officeDocument/2006/relationships/hyperlink" Target="http://portal.nalog.gov.by/create_mybusiness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://www.portal.nalog.gov.by/user_registration_for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nalog.gov.by/web/nalog/nalog_cal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www.portal.nalog.gov.by/web/nalog/timetab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2020-09-16T12:09:00Z</dcterms:created>
  <dcterms:modified xsi:type="dcterms:W3CDTF">2020-09-16T12:09:00Z</dcterms:modified>
</cp:coreProperties>
</file>