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17" w:rsidRPr="00720D2F" w:rsidRDefault="001D3317" w:rsidP="001D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720D2F">
        <w:rPr>
          <w:rFonts w:ascii="Times New Roman" w:hAnsi="Times New Roman"/>
          <w:b/>
          <w:sz w:val="30"/>
          <w:szCs w:val="30"/>
        </w:rPr>
        <w:t>Личный кабинет плательщика на сайте МНС</w:t>
      </w:r>
    </w:p>
    <w:p w:rsidR="001D3317" w:rsidRPr="00720D2F" w:rsidRDefault="001D3317" w:rsidP="001D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D3317" w:rsidRPr="00720D2F" w:rsidRDefault="00E10BBA" w:rsidP="001D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hyperlink r:id="rId5" w:history="1">
        <w:r w:rsidR="001D3317" w:rsidRPr="00720D2F">
          <w:rPr>
            <w:rStyle w:val="a3"/>
            <w:rFonts w:ascii="Times New Roman" w:hAnsi="Times New Roman"/>
            <w:b/>
            <w:sz w:val="30"/>
            <w:szCs w:val="30"/>
          </w:rPr>
          <w:t>Личный кабинет плательщика</w:t>
        </w:r>
      </w:hyperlink>
    </w:p>
    <w:p w:rsidR="001D3317" w:rsidRPr="00720D2F" w:rsidRDefault="001D3317" w:rsidP="001D3317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159385</wp:posOffset>
            </wp:positionV>
            <wp:extent cx="2983230" cy="731520"/>
            <wp:effectExtent l="0" t="0" r="7620" b="0"/>
            <wp:wrapThrough wrapText="bothSides">
              <wp:wrapPolygon edited="0">
                <wp:start x="0" y="0"/>
                <wp:lineTo x="0" y="20813"/>
                <wp:lineTo x="21517" y="20813"/>
                <wp:lineTo x="215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sz w:val="30"/>
          <w:szCs w:val="30"/>
        </w:rPr>
        <w:t xml:space="preserve">На главной странице официального сайта Министерства по налогам и сборам (nalog.gov.by) расположена </w:t>
      </w:r>
      <w:hyperlink r:id="rId7" w:history="1">
        <w:r w:rsidRPr="00720D2F">
          <w:rPr>
            <w:rStyle w:val="a3"/>
            <w:sz w:val="30"/>
            <w:szCs w:val="30"/>
          </w:rPr>
          <w:t>ссылка</w:t>
        </w:r>
      </w:hyperlink>
      <w:r w:rsidRPr="00720D2F">
        <w:rPr>
          <w:sz w:val="30"/>
          <w:szCs w:val="30"/>
        </w:rPr>
        <w:t>, являющаяся единым входом в Личный кабинет для любой категории плательщика.</w:t>
      </w:r>
    </w:p>
    <w:p w:rsidR="001D3317" w:rsidRPr="00720D2F" w:rsidRDefault="001D3317" w:rsidP="001D3317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На данный момент предложено 3 способа входа в Личный кабинет:</w:t>
      </w:r>
    </w:p>
    <w:p w:rsidR="001D3317" w:rsidRPr="00720D2F" w:rsidRDefault="001D3317" w:rsidP="001D33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по ключу электронной цифровой подписи (далее – ЭЦП),</w:t>
      </w:r>
    </w:p>
    <w:p w:rsidR="001D3317" w:rsidRPr="00720D2F" w:rsidRDefault="001D3317" w:rsidP="001D33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по логину-паролю,</w:t>
      </w:r>
    </w:p>
    <w:p w:rsidR="001D3317" w:rsidRPr="00720D2F" w:rsidRDefault="001D3317" w:rsidP="001D33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мобильной ЭЦП.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t xml:space="preserve">В зависимости от способа входа и типа пользователя: автоматически будет выстроен «персональный» функционал со своим набором сервисов и возможностей. </w:t>
      </w:r>
    </w:p>
    <w:p w:rsidR="001D3317" w:rsidRPr="00720D2F" w:rsidRDefault="001D3317" w:rsidP="001D3317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После успешного входа и аутентификации одним из вышеуказанных способов на главной странице отображаются горизонтальные и вертикальное меню личного кабинета. На верхнем горизонтальном меню, которое может быть доступно и без входа в личный кабинет, размещены кнопки, которые вызывают открытые сервисы налоговых органов и справочную информацию для пользователей: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9"/>
        <w:gridCol w:w="2213"/>
        <w:gridCol w:w="1886"/>
        <w:gridCol w:w="1775"/>
      </w:tblGrid>
      <w:tr w:rsidR="001D3317" w:rsidRPr="00720D2F" w:rsidTr="006A72B2">
        <w:tc>
          <w:tcPr>
            <w:tcW w:w="1883" w:type="dxa"/>
          </w:tcPr>
          <w:p w:rsidR="001D3317" w:rsidRPr="00720D2F" w:rsidRDefault="001D3317" w:rsidP="006A72B2">
            <w:pPr>
              <w:pStyle w:val="ConsPlusNormal"/>
              <w:widowControl w:val="0"/>
              <w:ind w:firstLine="0"/>
              <w:jc w:val="both"/>
              <w:rPr>
                <w:b/>
                <w:sz w:val="30"/>
                <w:szCs w:val="30"/>
              </w:rPr>
            </w:pPr>
            <w:r w:rsidRPr="00720D2F">
              <w:rPr>
                <w:b/>
                <w:sz w:val="30"/>
                <w:szCs w:val="30"/>
              </w:rPr>
              <w:t>Новости</w:t>
            </w:r>
          </w:p>
        </w:tc>
        <w:tc>
          <w:tcPr>
            <w:tcW w:w="1883" w:type="dxa"/>
          </w:tcPr>
          <w:p w:rsidR="001D3317" w:rsidRPr="00720D2F" w:rsidRDefault="001D3317" w:rsidP="006A72B2">
            <w:pPr>
              <w:pStyle w:val="ConsPlusNormal"/>
              <w:widowControl w:val="0"/>
              <w:ind w:firstLine="0"/>
              <w:jc w:val="both"/>
              <w:rPr>
                <w:b/>
                <w:sz w:val="30"/>
                <w:szCs w:val="30"/>
              </w:rPr>
            </w:pPr>
            <w:r w:rsidRPr="00720D2F">
              <w:rPr>
                <w:b/>
                <w:sz w:val="30"/>
                <w:szCs w:val="30"/>
              </w:rPr>
              <w:t>Электронные сервисы</w:t>
            </w:r>
          </w:p>
        </w:tc>
        <w:tc>
          <w:tcPr>
            <w:tcW w:w="2039" w:type="dxa"/>
          </w:tcPr>
          <w:p w:rsidR="001D3317" w:rsidRPr="00720D2F" w:rsidRDefault="001D3317" w:rsidP="006A72B2">
            <w:pPr>
              <w:pStyle w:val="ConsPlusNormal"/>
              <w:widowControl w:val="0"/>
              <w:ind w:firstLine="0"/>
              <w:jc w:val="both"/>
              <w:rPr>
                <w:b/>
                <w:sz w:val="30"/>
                <w:szCs w:val="30"/>
              </w:rPr>
            </w:pPr>
            <w:r w:rsidRPr="00720D2F">
              <w:rPr>
                <w:b/>
                <w:sz w:val="30"/>
                <w:szCs w:val="30"/>
              </w:rPr>
              <w:t>Декларирование</w:t>
            </w:r>
          </w:p>
        </w:tc>
        <w:tc>
          <w:tcPr>
            <w:tcW w:w="1888" w:type="dxa"/>
          </w:tcPr>
          <w:p w:rsidR="001D3317" w:rsidRPr="00720D2F" w:rsidRDefault="001D3317" w:rsidP="006A72B2">
            <w:pPr>
              <w:pStyle w:val="ConsPlusNormal"/>
              <w:widowControl w:val="0"/>
              <w:ind w:firstLine="0"/>
              <w:jc w:val="both"/>
              <w:rPr>
                <w:b/>
                <w:sz w:val="30"/>
                <w:szCs w:val="30"/>
              </w:rPr>
            </w:pPr>
            <w:r w:rsidRPr="00720D2F">
              <w:rPr>
                <w:b/>
                <w:sz w:val="30"/>
                <w:szCs w:val="30"/>
              </w:rPr>
              <w:t>Контакты</w:t>
            </w:r>
          </w:p>
        </w:tc>
        <w:tc>
          <w:tcPr>
            <w:tcW w:w="1878" w:type="dxa"/>
          </w:tcPr>
          <w:p w:rsidR="001D3317" w:rsidRPr="00720D2F" w:rsidRDefault="001D3317" w:rsidP="006A72B2">
            <w:pPr>
              <w:pStyle w:val="ConsPlusNormal"/>
              <w:widowControl w:val="0"/>
              <w:ind w:firstLine="0"/>
              <w:jc w:val="both"/>
              <w:rPr>
                <w:b/>
                <w:sz w:val="30"/>
                <w:szCs w:val="30"/>
              </w:rPr>
            </w:pPr>
            <w:r w:rsidRPr="00720D2F">
              <w:rPr>
                <w:b/>
                <w:sz w:val="30"/>
                <w:szCs w:val="30"/>
              </w:rPr>
              <w:t>Помощь</w:t>
            </w:r>
          </w:p>
        </w:tc>
      </w:tr>
      <w:tr w:rsidR="001D3317" w:rsidRPr="00720D2F" w:rsidTr="006A72B2">
        <w:trPr>
          <w:trHeight w:val="4472"/>
        </w:trPr>
        <w:tc>
          <w:tcPr>
            <w:tcW w:w="1883" w:type="dxa"/>
          </w:tcPr>
          <w:p w:rsidR="001D3317" w:rsidRPr="00720D2F" w:rsidRDefault="001D3317" w:rsidP="006A72B2">
            <w:pPr>
              <w:pStyle w:val="ConsPlusNormal"/>
              <w:widowControl w:val="0"/>
              <w:ind w:firstLine="0"/>
              <w:jc w:val="both"/>
              <w:rPr>
                <w:sz w:val="30"/>
                <w:szCs w:val="30"/>
              </w:rPr>
            </w:pPr>
            <w:r w:rsidRPr="00720D2F">
              <w:rPr>
                <w:sz w:val="30"/>
                <w:szCs w:val="30"/>
              </w:rPr>
              <w:t>Обзор оперативных новостей по работе с электронными сервисами, информация о новых версиях, обновлениях, иная справочная информация для плательщик</w:t>
            </w:r>
            <w:r w:rsidRPr="00720D2F">
              <w:rPr>
                <w:sz w:val="30"/>
                <w:szCs w:val="30"/>
              </w:rPr>
              <w:lastRenderedPageBreak/>
              <w:t xml:space="preserve">а </w:t>
            </w:r>
          </w:p>
        </w:tc>
        <w:tc>
          <w:tcPr>
            <w:tcW w:w="1883" w:type="dxa"/>
          </w:tcPr>
          <w:p w:rsidR="001D3317" w:rsidRPr="00720D2F" w:rsidRDefault="001D3317" w:rsidP="006A72B2">
            <w:pPr>
              <w:pStyle w:val="ConsPlusNormal"/>
              <w:widowControl w:val="0"/>
              <w:ind w:firstLine="0"/>
              <w:jc w:val="both"/>
              <w:rPr>
                <w:sz w:val="30"/>
                <w:szCs w:val="30"/>
              </w:rPr>
            </w:pPr>
            <w:r w:rsidRPr="00720D2F">
              <w:rPr>
                <w:sz w:val="30"/>
                <w:szCs w:val="30"/>
              </w:rPr>
              <w:lastRenderedPageBreak/>
              <w:t>Доступ к информации открытых сервисов на сайте в разделе «Электронные сервисы»</w:t>
            </w:r>
          </w:p>
        </w:tc>
        <w:tc>
          <w:tcPr>
            <w:tcW w:w="2039" w:type="dxa"/>
          </w:tcPr>
          <w:p w:rsidR="001D3317" w:rsidRPr="00720D2F" w:rsidRDefault="001D3317" w:rsidP="006A72B2">
            <w:pPr>
              <w:pStyle w:val="ConsPlusNormal"/>
              <w:widowControl w:val="0"/>
              <w:ind w:firstLine="0"/>
              <w:jc w:val="both"/>
              <w:rPr>
                <w:sz w:val="30"/>
                <w:szCs w:val="30"/>
              </w:rPr>
            </w:pPr>
            <w:r w:rsidRPr="00720D2F">
              <w:rPr>
                <w:sz w:val="30"/>
                <w:szCs w:val="30"/>
              </w:rPr>
              <w:t>Справочная информация о декларировании физических и юридических лиц</w:t>
            </w:r>
          </w:p>
        </w:tc>
        <w:tc>
          <w:tcPr>
            <w:tcW w:w="1888" w:type="dxa"/>
          </w:tcPr>
          <w:p w:rsidR="001D3317" w:rsidRPr="00720D2F" w:rsidRDefault="001D3317" w:rsidP="006A72B2">
            <w:pPr>
              <w:pStyle w:val="ConsPlusNormal"/>
              <w:widowControl w:val="0"/>
              <w:ind w:firstLine="0"/>
              <w:jc w:val="both"/>
              <w:rPr>
                <w:sz w:val="30"/>
                <w:szCs w:val="30"/>
              </w:rPr>
            </w:pPr>
            <w:r w:rsidRPr="00720D2F">
              <w:rPr>
                <w:sz w:val="30"/>
                <w:szCs w:val="30"/>
              </w:rPr>
              <w:t>Сведения о технической поддержке по работе с функционалом личного кабинета и технической поддержке по вопросам авторизации через ЭЦП</w:t>
            </w:r>
          </w:p>
        </w:tc>
        <w:tc>
          <w:tcPr>
            <w:tcW w:w="1878" w:type="dxa"/>
          </w:tcPr>
          <w:p w:rsidR="001D3317" w:rsidRPr="00720D2F" w:rsidRDefault="001D3317" w:rsidP="006A72B2">
            <w:pPr>
              <w:pStyle w:val="ConsPlusNormal"/>
              <w:widowControl w:val="0"/>
              <w:ind w:firstLine="0"/>
              <w:jc w:val="both"/>
              <w:rPr>
                <w:sz w:val="30"/>
                <w:szCs w:val="30"/>
              </w:rPr>
            </w:pPr>
            <w:r w:rsidRPr="00720D2F">
              <w:rPr>
                <w:sz w:val="30"/>
                <w:szCs w:val="30"/>
              </w:rPr>
              <w:t xml:space="preserve">Размещена Инструкция по работе с личным кабинетом, Инструкция о порядке получения логина и пароля для доступа в личный кабинет и другие справочные данные в </w:t>
            </w:r>
            <w:r w:rsidRPr="00720D2F">
              <w:rPr>
                <w:sz w:val="30"/>
                <w:szCs w:val="30"/>
              </w:rPr>
              <w:lastRenderedPageBreak/>
              <w:t>помощь пользователю</w:t>
            </w:r>
          </w:p>
        </w:tc>
      </w:tr>
    </w:tbl>
    <w:p w:rsidR="001D3317" w:rsidRPr="00720D2F" w:rsidRDefault="001D3317" w:rsidP="001D3317">
      <w:pPr>
        <w:pStyle w:val="ConsPlusNormal"/>
        <w:widowControl w:val="0"/>
        <w:tabs>
          <w:tab w:val="left" w:pos="7032"/>
        </w:tabs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lastRenderedPageBreak/>
        <w:t>Следующее горизонтальное меню, отмеченное зеленым цветом, содержит информацию о пользователе: место и время работы в функционале, фамилию, имя, отчество и уникальный идентификационный номер плательщика УНП (как физического лица, так и индивидуального предпринимателя, если он имеется у гражданина), а также здесь расположены кнопки для вызова отдельных сервисов личного кабинета, назначение которых показаны ниже: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6"/>
        <w:gridCol w:w="2726"/>
        <w:gridCol w:w="2471"/>
        <w:gridCol w:w="1439"/>
      </w:tblGrid>
      <w:tr w:rsidR="001D3317" w:rsidRPr="00720D2F" w:rsidTr="006A72B2">
        <w:tc>
          <w:tcPr>
            <w:tcW w:w="2686" w:type="dxa"/>
          </w:tcPr>
          <w:p w:rsidR="001D3317" w:rsidRPr="00720D2F" w:rsidRDefault="001D3317" w:rsidP="006A72B2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30"/>
                <w:szCs w:val="30"/>
              </w:rPr>
            </w:pPr>
            <w:r w:rsidRPr="00720D2F">
              <w:rPr>
                <w:b/>
                <w:sz w:val="30"/>
                <w:szCs w:val="30"/>
              </w:rPr>
              <w:object w:dxaOrig="825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2.25pt" o:ole="">
                  <v:imagedata r:id="rId8" o:title=""/>
                </v:shape>
                <o:OLEObject Type="Embed" ProgID="PBrush" ShapeID="_x0000_i1025" DrawAspect="Content" ObjectID="_1661774397" r:id="rId9"/>
              </w:object>
            </w:r>
            <w:r w:rsidRPr="00720D2F">
              <w:rPr>
                <w:b/>
                <w:sz w:val="30"/>
                <w:szCs w:val="30"/>
              </w:rPr>
              <w:t>Персональные данные пользователя</w:t>
            </w:r>
          </w:p>
        </w:tc>
        <w:tc>
          <w:tcPr>
            <w:tcW w:w="2726" w:type="dxa"/>
          </w:tcPr>
          <w:p w:rsidR="001D3317" w:rsidRPr="00720D2F" w:rsidRDefault="001D3317" w:rsidP="006A72B2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30"/>
                <w:szCs w:val="30"/>
              </w:rPr>
            </w:pPr>
            <w:r w:rsidRPr="00720D2F">
              <w:rPr>
                <w:sz w:val="30"/>
                <w:szCs w:val="30"/>
              </w:rPr>
              <w:object w:dxaOrig="792" w:dyaOrig="756">
                <v:shape id="_x0000_i1026" type="#_x0000_t75" style="width:39.75pt;height:37.5pt" o:ole="">
                  <v:imagedata r:id="rId10" o:title=""/>
                </v:shape>
                <o:OLEObject Type="Embed" ProgID="PBrush" ShapeID="_x0000_i1026" DrawAspect="Content" ObjectID="_1661774398" r:id="rId11"/>
              </w:object>
            </w:r>
            <w:r w:rsidRPr="00720D2F">
              <w:rPr>
                <w:b/>
                <w:sz w:val="30"/>
                <w:szCs w:val="30"/>
              </w:rPr>
              <w:t xml:space="preserve">Задолженность и переплата </w:t>
            </w:r>
          </w:p>
          <w:p w:rsidR="001D3317" w:rsidRPr="00720D2F" w:rsidRDefault="001D3317" w:rsidP="006A72B2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30"/>
                <w:szCs w:val="30"/>
              </w:rPr>
            </w:pPr>
          </w:p>
          <w:p w:rsidR="001D3317" w:rsidRPr="00720D2F" w:rsidRDefault="001D3317" w:rsidP="006A72B2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30"/>
                <w:szCs w:val="30"/>
              </w:rPr>
            </w:pPr>
            <w:r w:rsidRPr="00720D2F">
              <w:rPr>
                <w:sz w:val="30"/>
                <w:szCs w:val="30"/>
              </w:rPr>
              <w:t>Такой значок означает, что задолженность по налоговым платежам на текущий момент по оперативным сведениям из учетной системы налоговых органов   в бюджет отсутствует</w:t>
            </w:r>
          </w:p>
        </w:tc>
        <w:tc>
          <w:tcPr>
            <w:tcW w:w="2471" w:type="dxa"/>
          </w:tcPr>
          <w:p w:rsidR="001D3317" w:rsidRPr="00720D2F" w:rsidRDefault="001D3317" w:rsidP="006A72B2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30"/>
                <w:szCs w:val="30"/>
              </w:rPr>
            </w:pPr>
            <w:r w:rsidRPr="00720D2F">
              <w:rPr>
                <w:b/>
                <w:sz w:val="30"/>
                <w:szCs w:val="30"/>
              </w:rPr>
              <w:object w:dxaOrig="915" w:dyaOrig="675">
                <v:shape id="_x0000_i1027" type="#_x0000_t75" style="width:45.75pt;height:34.5pt" o:ole="">
                  <v:imagedata r:id="rId12" o:title=""/>
                </v:shape>
                <o:OLEObject Type="Embed" ProgID="PBrush" ShapeID="_x0000_i1027" DrawAspect="Content" ObjectID="_1661774399" r:id="rId13"/>
              </w:object>
            </w:r>
            <w:r w:rsidRPr="00720D2F">
              <w:rPr>
                <w:b/>
                <w:sz w:val="30"/>
                <w:szCs w:val="30"/>
              </w:rPr>
              <w:t>Документы из МНС</w:t>
            </w:r>
          </w:p>
        </w:tc>
        <w:tc>
          <w:tcPr>
            <w:tcW w:w="1439" w:type="dxa"/>
          </w:tcPr>
          <w:p w:rsidR="001D3317" w:rsidRPr="00720D2F" w:rsidRDefault="001D3317" w:rsidP="006A72B2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30"/>
                <w:szCs w:val="30"/>
              </w:rPr>
            </w:pPr>
            <w:r w:rsidRPr="00720D2F">
              <w:rPr>
                <w:b/>
                <w:sz w:val="30"/>
                <w:szCs w:val="30"/>
              </w:rPr>
              <w:object w:dxaOrig="810" w:dyaOrig="675">
                <v:shape id="_x0000_i1028" type="#_x0000_t75" style="width:40.5pt;height:34.5pt" o:ole="">
                  <v:imagedata r:id="rId14" o:title=""/>
                </v:shape>
                <o:OLEObject Type="Embed" ProgID="PBrush" ShapeID="_x0000_i1028" DrawAspect="Content" ObjectID="_1661774400" r:id="rId15"/>
              </w:object>
            </w:r>
          </w:p>
          <w:p w:rsidR="001D3317" w:rsidRPr="00720D2F" w:rsidRDefault="001D3317" w:rsidP="006A72B2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b/>
                <w:sz w:val="30"/>
                <w:szCs w:val="30"/>
              </w:rPr>
            </w:pPr>
            <w:r w:rsidRPr="00720D2F">
              <w:rPr>
                <w:b/>
                <w:sz w:val="30"/>
                <w:szCs w:val="30"/>
              </w:rPr>
              <w:t>Выход из личного кабинета</w:t>
            </w:r>
          </w:p>
        </w:tc>
      </w:tr>
      <w:tr w:rsidR="001D3317" w:rsidRPr="00720D2F" w:rsidTr="006A72B2">
        <w:tc>
          <w:tcPr>
            <w:tcW w:w="2686" w:type="dxa"/>
          </w:tcPr>
          <w:p w:rsidR="001D3317" w:rsidRPr="00720D2F" w:rsidRDefault="001D3317" w:rsidP="006A72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noProof/>
                <w:sz w:val="30"/>
                <w:szCs w:val="30"/>
              </w:rPr>
            </w:pPr>
            <w:r w:rsidRPr="00720D2F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Для плательщика физического лица</w:t>
            </w:r>
            <w:r w:rsidRPr="00720D2F">
              <w:rPr>
                <w:rFonts w:ascii="Times New Roman" w:hAnsi="Times New Roman"/>
                <w:sz w:val="30"/>
                <w:szCs w:val="30"/>
              </w:rPr>
              <w:t xml:space="preserve"> позволяет сменить логин и пароль для входа в личный кабинет, обновить персональные данные в информационных системах МНС, изменить способ доступа в личный кабинет и изменить способ получения извещений налоговых органов (личный кабинет, электронная почта, на бумаге).</w:t>
            </w:r>
          </w:p>
        </w:tc>
        <w:tc>
          <w:tcPr>
            <w:tcW w:w="2726" w:type="dxa"/>
          </w:tcPr>
          <w:p w:rsidR="001D3317" w:rsidRPr="00720D2F" w:rsidRDefault="001D3317" w:rsidP="006A72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4381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D2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20D2F">
              <w:rPr>
                <w:rFonts w:ascii="Times New Roman" w:hAnsi="Times New Roman"/>
                <w:sz w:val="30"/>
                <w:szCs w:val="30"/>
                <w:lang w:eastAsia="ru-RU"/>
              </w:rPr>
              <w:t>Означает, что имеется задолженность перед бюджетом по налоговым платежам. При нажатии на значок будет представлена информация об общей сумме задолженности и переплате по налоговым платежам по каждому УНП (если таковые имеются у плательщика). Детальную информацию в разрезе налогов можно посмотреть в пункте "Заявка на документы" - "Сведения о задолженностях, переплатах и пене" отдельно по каждому УНП.</w:t>
            </w:r>
          </w:p>
        </w:tc>
        <w:tc>
          <w:tcPr>
            <w:tcW w:w="2471" w:type="dxa"/>
          </w:tcPr>
          <w:p w:rsidR="001D3317" w:rsidRPr="00720D2F" w:rsidRDefault="001D3317" w:rsidP="006A72B2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30"/>
                <w:szCs w:val="30"/>
              </w:rPr>
            </w:pPr>
            <w:r w:rsidRPr="00720D2F">
              <w:rPr>
                <w:sz w:val="30"/>
                <w:szCs w:val="30"/>
              </w:rPr>
              <w:t>Отражается информация о направленных налоговым органом документах и на текущий момент непрочитанных плательщиком.</w:t>
            </w:r>
          </w:p>
          <w:p w:rsidR="001D3317" w:rsidRPr="00720D2F" w:rsidRDefault="001D3317" w:rsidP="006A72B2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30"/>
                <w:szCs w:val="30"/>
              </w:rPr>
            </w:pPr>
            <w:r w:rsidRPr="00720D2F">
              <w:rPr>
                <w:color w:val="000000"/>
                <w:sz w:val="30"/>
                <w:szCs w:val="30"/>
              </w:rPr>
              <w:t>В красном круге отражается количество непрочитанных сообщений, которые можно быстро посмотреть по нажатию на данный значок.</w:t>
            </w:r>
          </w:p>
        </w:tc>
        <w:tc>
          <w:tcPr>
            <w:tcW w:w="1439" w:type="dxa"/>
          </w:tcPr>
          <w:p w:rsidR="001D3317" w:rsidRPr="00720D2F" w:rsidRDefault="001D3317" w:rsidP="006A72B2">
            <w:pPr>
              <w:pStyle w:val="ConsPlusNormal"/>
              <w:widowControl w:val="0"/>
              <w:tabs>
                <w:tab w:val="left" w:pos="7032"/>
              </w:tabs>
              <w:ind w:firstLine="0"/>
              <w:jc w:val="both"/>
              <w:rPr>
                <w:sz w:val="30"/>
                <w:szCs w:val="30"/>
              </w:rPr>
            </w:pPr>
            <w:r w:rsidRPr="00720D2F">
              <w:rPr>
                <w:sz w:val="30"/>
                <w:szCs w:val="30"/>
              </w:rPr>
              <w:t>Выход из личного кабинета</w:t>
            </w:r>
          </w:p>
        </w:tc>
      </w:tr>
    </w:tbl>
    <w:p w:rsidR="001D3317" w:rsidRPr="00720D2F" w:rsidRDefault="001D3317" w:rsidP="001D3317">
      <w:pPr>
        <w:pStyle w:val="ConsPlusNormal"/>
        <w:widowControl w:val="0"/>
        <w:tabs>
          <w:tab w:val="left" w:pos="7032"/>
        </w:tabs>
        <w:ind w:firstLine="284"/>
        <w:jc w:val="both"/>
        <w:rPr>
          <w:sz w:val="30"/>
          <w:szCs w:val="30"/>
        </w:rPr>
      </w:pP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Основные функции личного кабинета сгруппированы, как и ранее, в вертикальном меню.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Если плательщик физическое лицо осуществил вход в личный кабинет по логину и паролю или с помощью мобильной ЭЦП - ему будут предложены пункты меню, которые относятся к общему блоку электронных сервисов для всех плательщиков, блок электронных сервисов для физических лиц. Если одновременно данный гражданин является и индивидуальным предпринимателем в меню будет добавлен дополнительный блок с сервисами для субъектов хозяйствования.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  <w:u w:val="single"/>
        </w:rPr>
      </w:pP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b/>
          <w:sz w:val="30"/>
          <w:szCs w:val="30"/>
        </w:rPr>
      </w:pPr>
      <w:r w:rsidRPr="00720D2F">
        <w:rPr>
          <w:b/>
          <w:sz w:val="30"/>
          <w:szCs w:val="30"/>
        </w:rPr>
        <w:lastRenderedPageBreak/>
        <w:t>Общий блок электронных сервисов для всех плательщиков: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-анкетирование;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-документы из МНС;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-запись на личный прием граждан;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-заявка на документы;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-предварительная регистрация;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-просмотр электронных документов;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 xml:space="preserve">-информация о договорах на оказание в сфере </w:t>
      </w:r>
      <w:proofErr w:type="spellStart"/>
      <w:r w:rsidRPr="00720D2F">
        <w:rPr>
          <w:color w:val="000000"/>
          <w:sz w:val="30"/>
          <w:szCs w:val="30"/>
        </w:rPr>
        <w:t>агроэкотуризма</w:t>
      </w:r>
      <w:proofErr w:type="spellEnd"/>
      <w:r w:rsidRPr="00720D2F">
        <w:rPr>
          <w:color w:val="000000"/>
          <w:sz w:val="30"/>
          <w:szCs w:val="30"/>
        </w:rPr>
        <w:t>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Использование указанных сервисов не требует строгой аутентификации с помощью ЭЦП.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b/>
          <w:sz w:val="30"/>
          <w:szCs w:val="30"/>
        </w:rPr>
      </w:pPr>
      <w:r w:rsidRPr="00720D2F">
        <w:rPr>
          <w:b/>
          <w:sz w:val="30"/>
          <w:szCs w:val="30"/>
        </w:rPr>
        <w:t>Блок электронных сервисов для граждан (физических лиц и индивидуальных предпринимателей):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-декларации физических лиц;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-извещения;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-объекты недвижимости;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-оплата налогов;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-подача уведомления;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color w:val="000000"/>
          <w:sz w:val="30"/>
          <w:szCs w:val="30"/>
        </w:rPr>
        <w:t>-подача</w:t>
      </w:r>
      <w:r w:rsidRPr="00720D2F">
        <w:rPr>
          <w:sz w:val="30"/>
          <w:szCs w:val="30"/>
        </w:rPr>
        <w:t xml:space="preserve"> запросов в свободной форме.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Электронные сервисы из данного блока могут быть востребованы как плательщиками налогов с физических лиц, так и плательщиками, которые осуществляют деятельность в качестве индивидуального предпринимателя. Использование указанных сервисов не требует строгой аутентификации с помощью ЭЦП.</w:t>
      </w:r>
    </w:p>
    <w:p w:rsidR="001D3317" w:rsidRPr="00720D2F" w:rsidRDefault="001D3317" w:rsidP="001D3317">
      <w:pPr>
        <w:pStyle w:val="ConsPlusNormal"/>
        <w:widowControl w:val="0"/>
        <w:ind w:firstLine="284"/>
        <w:jc w:val="both"/>
        <w:rPr>
          <w:i/>
          <w:sz w:val="30"/>
          <w:szCs w:val="30"/>
        </w:rPr>
      </w:pP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b/>
          <w:sz w:val="30"/>
          <w:szCs w:val="30"/>
        </w:rPr>
      </w:pPr>
      <w:r w:rsidRPr="00720D2F">
        <w:rPr>
          <w:b/>
          <w:sz w:val="30"/>
          <w:szCs w:val="30"/>
        </w:rPr>
        <w:t>Блок электронных сервисов для субъектов хозяйствования (организаций и индивидуальных предпринимателей):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-декларации (ИП);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-подача заявления;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-работа с документами ЕАЭС;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color w:val="000000"/>
          <w:sz w:val="30"/>
          <w:szCs w:val="30"/>
        </w:rPr>
      </w:pPr>
      <w:r w:rsidRPr="00720D2F">
        <w:rPr>
          <w:color w:val="000000"/>
          <w:sz w:val="30"/>
          <w:szCs w:val="30"/>
        </w:rPr>
        <w:t>-узнать о жалобе.</w:t>
      </w:r>
    </w:p>
    <w:p w:rsidR="001D3317" w:rsidRPr="00720D2F" w:rsidRDefault="001D3317" w:rsidP="001D3317">
      <w:pPr>
        <w:pStyle w:val="ConsPlusNormal"/>
        <w:widowControl w:val="0"/>
        <w:tabs>
          <w:tab w:val="left" w:pos="851"/>
        </w:tabs>
        <w:ind w:left="644" w:firstLine="0"/>
        <w:jc w:val="both"/>
        <w:rPr>
          <w:sz w:val="30"/>
          <w:szCs w:val="30"/>
        </w:rPr>
      </w:pP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Сервисы «Подача деклараций»,</w:t>
      </w:r>
      <w:r w:rsidRPr="00720D2F">
        <w:rPr>
          <w:rFonts w:eastAsia="Calibri"/>
          <w:sz w:val="30"/>
          <w:szCs w:val="30"/>
          <w:lang w:eastAsia="en-US"/>
        </w:rPr>
        <w:t xml:space="preserve"> </w:t>
      </w:r>
      <w:r w:rsidRPr="00720D2F">
        <w:rPr>
          <w:sz w:val="30"/>
          <w:szCs w:val="30"/>
        </w:rPr>
        <w:t>«Подача заявления» и «Работа с документами ЕАЭС» требуют строгой аутентификации посредством ЭЦП.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Для индивидуальных предпринимателей при использовании сервисов «Декларации (ИП)» и «Подача заявления» реализовано использование дополнительного способа аутентификации – с помощью мобильной ЭЦП.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Использование сервиса «Работа с документами ЕАЭС» возможно только при аутентификации с помощью физической ЭЦП.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lastRenderedPageBreak/>
        <w:t>Если индивидуальным предпринимателем был осуществлен вход в личный кабинет по логину и паролю, при выборе одного из указанных выше сервисов данного блока будет предложено пройти обязательную аутентификацию по ЭЦП.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Для использования сервиса «Узнать о жалобе» не требуется строгая аутентификация посредством ЭЦП.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В случае если гражданин одновременно является плательщиком налогов с физических лиц и осуществляет деятельность как индивидуальный предприниматель, в верхнем горизонтальном меню предоставлена возможность выбора категории плательщиков, в отношении которой он будет заказывать электронные услуги.</w:t>
      </w:r>
    </w:p>
    <w:p w:rsidR="001D3317" w:rsidRPr="00720D2F" w:rsidRDefault="001D3317" w:rsidP="001D3317">
      <w:pPr>
        <w:pStyle w:val="ConsPlusNormal"/>
        <w:widowControl w:val="0"/>
        <w:ind w:firstLine="709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Для этого необходимо в выпадающем списке выбрать один из его УНП (УНП физического лица либо УНП индивидуального предпринимателя). В отношении выбранного УНП будут по умолчанию осуществляться все электронные сервисы из всех представленных блоков - по данному УНП осуществляться поиск сведений в учетной системе налоговых органов и документов на портале МНС, при заполнении плательщиком сведений и документов данный УНП будет автоматически подставляться в соответствующие реквизиты формы представления информации и т.п.</w:t>
      </w:r>
    </w:p>
    <w:p w:rsidR="001D3317" w:rsidRPr="00720D2F" w:rsidRDefault="001D3317" w:rsidP="001D3317">
      <w:pPr>
        <w:pStyle w:val="ConsPlusNormal"/>
        <w:widowControl w:val="0"/>
        <w:ind w:firstLine="0"/>
        <w:jc w:val="right"/>
        <w:rPr>
          <w:sz w:val="30"/>
          <w:szCs w:val="30"/>
        </w:rPr>
      </w:pPr>
    </w:p>
    <w:p w:rsidR="00673C19" w:rsidRDefault="00673C19" w:rsidP="00673C19">
      <w:pPr>
        <w:pStyle w:val="ConsPlusNormal"/>
        <w:ind w:firstLine="54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Инспекция Министерства по налогам и сборам </w:t>
      </w:r>
    </w:p>
    <w:p w:rsidR="00673C19" w:rsidRDefault="00673C19" w:rsidP="00673C19">
      <w:pPr>
        <w:pStyle w:val="ConsPlusNormal"/>
        <w:ind w:firstLine="540"/>
        <w:jc w:val="right"/>
        <w:rPr>
          <w:rFonts w:ascii="Calibri" w:hAnsi="Calibri" w:cs="Calibri"/>
          <w:sz w:val="22"/>
          <w:szCs w:val="20"/>
        </w:rPr>
      </w:pPr>
      <w:r>
        <w:rPr>
          <w:sz w:val="30"/>
          <w:szCs w:val="30"/>
        </w:rPr>
        <w:t>Республики Беларусь по Кричевскому району</w:t>
      </w:r>
    </w:p>
    <w:p w:rsidR="008B5A69" w:rsidRDefault="008B5A69">
      <w:bookmarkStart w:id="0" w:name="_GoBack"/>
      <w:bookmarkEnd w:id="0"/>
    </w:p>
    <w:sectPr w:rsidR="008B5A69" w:rsidSect="00E1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7DF9"/>
    <w:multiLevelType w:val="hybridMultilevel"/>
    <w:tmpl w:val="082CF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17"/>
    <w:rsid w:val="001D3317"/>
    <w:rsid w:val="00673C19"/>
    <w:rsid w:val="008B5A69"/>
    <w:rsid w:val="00AB1C25"/>
    <w:rsid w:val="00E1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3317"/>
    <w:rPr>
      <w:color w:val="0563C1"/>
      <w:u w:val="single"/>
    </w:rPr>
  </w:style>
  <w:style w:type="paragraph" w:customStyle="1" w:styleId="ConsPlusNormal">
    <w:name w:val="ConsPlusNormal"/>
    <w:rsid w:val="001D331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D3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3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3317"/>
    <w:rPr>
      <w:color w:val="0563C1"/>
      <w:u w:val="single"/>
    </w:rPr>
  </w:style>
  <w:style w:type="paragraph" w:customStyle="1" w:styleId="ConsPlusNormal">
    <w:name w:val="ConsPlusNormal"/>
    <w:rsid w:val="001D331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D3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3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log.gov.by/ru/lichnii-kabinet-fl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hyperlink" Target="http://www.nalog.gov.by/ru/lichnii-kabinet-fl" TargetMode="Externa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Admin</cp:lastModifiedBy>
  <cp:revision>2</cp:revision>
  <dcterms:created xsi:type="dcterms:W3CDTF">2020-09-16T12:14:00Z</dcterms:created>
  <dcterms:modified xsi:type="dcterms:W3CDTF">2020-09-16T12:14:00Z</dcterms:modified>
</cp:coreProperties>
</file>