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8D" w:rsidRPr="0038687D" w:rsidRDefault="00C41E8D" w:rsidP="00C41E8D">
      <w:pPr>
        <w:spacing w:line="280" w:lineRule="exact"/>
        <w:jc w:val="center"/>
        <w:outlineLvl w:val="0"/>
        <w:rPr>
          <w:b/>
          <w:sz w:val="30"/>
          <w:szCs w:val="30"/>
        </w:rPr>
      </w:pPr>
      <w:r w:rsidRPr="0038687D">
        <w:rPr>
          <w:b/>
          <w:sz w:val="30"/>
          <w:szCs w:val="30"/>
        </w:rPr>
        <w:t>О применении норм Указа Президента Республики Беларусь от 31 декабря 2020 г. № 512</w:t>
      </w:r>
    </w:p>
    <w:p w:rsidR="00C41E8D" w:rsidRPr="00740295" w:rsidRDefault="00C41E8D" w:rsidP="00C41E8D">
      <w:pPr>
        <w:spacing w:line="360" w:lineRule="auto"/>
        <w:outlineLvl w:val="0"/>
        <w:rPr>
          <w:sz w:val="30"/>
          <w:szCs w:val="30"/>
        </w:rPr>
      </w:pPr>
    </w:p>
    <w:p w:rsidR="00C41E8D" w:rsidRPr="00FB62CF" w:rsidRDefault="00C41E8D" w:rsidP="00C41E8D">
      <w:pPr>
        <w:tabs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30"/>
          <w:szCs w:val="30"/>
        </w:rPr>
      </w:pPr>
      <w:r w:rsidRPr="00FB62CF">
        <w:rPr>
          <w:sz w:val="30"/>
          <w:szCs w:val="30"/>
        </w:rPr>
        <w:t>Указом Президента Республики Беларусь от 31 декабря 2020 г.                      № 512 «Об изменении Указа Президента Республики Беларусь»          (далее – Указ № 512) внесены изменения в Указ Президента Республики Беларусь от 24 апреля 2020 г. № 143 «О поддержке экономики»          (далее – Указ № 143).</w:t>
      </w:r>
    </w:p>
    <w:p w:rsidR="00C41E8D" w:rsidRPr="00FB62CF" w:rsidRDefault="00C41E8D" w:rsidP="00C41E8D">
      <w:pPr>
        <w:tabs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b/>
          <w:sz w:val="30"/>
          <w:szCs w:val="30"/>
        </w:rPr>
      </w:pPr>
      <w:r w:rsidRPr="00FB62CF">
        <w:rPr>
          <w:b/>
          <w:sz w:val="30"/>
          <w:szCs w:val="30"/>
        </w:rPr>
        <w:t>Предоставление рассрочки уплаты налогов, сборов (пошлин).</w:t>
      </w:r>
    </w:p>
    <w:p w:rsidR="00C41E8D" w:rsidRPr="00FB62CF" w:rsidRDefault="00C41E8D" w:rsidP="00C41E8D">
      <w:pPr>
        <w:tabs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30"/>
          <w:szCs w:val="30"/>
        </w:rPr>
      </w:pPr>
      <w:r w:rsidRPr="00FB62CF">
        <w:rPr>
          <w:sz w:val="30"/>
          <w:szCs w:val="30"/>
        </w:rPr>
        <w:t xml:space="preserve">В соответствии с предписаниями подпункта 1.1 пункта 1 Указа № 512, а также исходя из периодов и сроков, указанных в названном подпункте, местные органы власти в 2021 году </w:t>
      </w:r>
      <w:r w:rsidRPr="00FB62CF">
        <w:rPr>
          <w:b/>
          <w:sz w:val="30"/>
          <w:szCs w:val="30"/>
        </w:rPr>
        <w:t xml:space="preserve">вправе предоставить только рассрочку </w:t>
      </w:r>
      <w:r w:rsidRPr="00FB62CF">
        <w:rPr>
          <w:sz w:val="30"/>
          <w:szCs w:val="30"/>
        </w:rPr>
        <w:t xml:space="preserve">уплаты налогов, сборов (пошлин), полностью уплачиваемых в соответствующие местные бюджеты, арендной платы за земельные участки, находящиеся в государственной собственности (далее - арендная плата за земельные участки), подлежащих уплате с 1 апреля по 31 декабря 2020 г. </w:t>
      </w:r>
    </w:p>
    <w:p w:rsidR="00C41E8D" w:rsidRPr="00FB62CF" w:rsidRDefault="00C41E8D" w:rsidP="00C41E8D">
      <w:pPr>
        <w:tabs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30"/>
          <w:szCs w:val="30"/>
        </w:rPr>
      </w:pPr>
      <w:r w:rsidRPr="00FB62CF">
        <w:rPr>
          <w:sz w:val="30"/>
          <w:szCs w:val="30"/>
        </w:rPr>
        <w:t xml:space="preserve">Такая рассрочка предоставляется юридическим лицам и индивидуальным предпринимателям, основной вид осуществляемой экономической деятельности которых включен в перечень, утвержденный Указом № 143 с учетом дополнений, внесенных Указом № 512, а также арендодателям (ссудодателям), предоставившим субъектам хозяйствования, арендаторам (ссудополучателям), оказывающим </w:t>
      </w:r>
      <w:r w:rsidRPr="00FB62CF">
        <w:rPr>
          <w:spacing w:val="-8"/>
          <w:sz w:val="30"/>
          <w:szCs w:val="30"/>
        </w:rPr>
        <w:t>бытовые услуги населению, недвижимое имущество, при предоставлении</w:t>
      </w:r>
      <w:r w:rsidRPr="00FB62CF">
        <w:rPr>
          <w:sz w:val="30"/>
          <w:szCs w:val="30"/>
        </w:rPr>
        <w:t xml:space="preserve"> ими отсрочки в порядке, предусмотренном пунктом 6 Указа № 143.</w:t>
      </w:r>
    </w:p>
    <w:p w:rsidR="00C41E8D" w:rsidRPr="00FB62CF" w:rsidRDefault="00C41E8D" w:rsidP="00C41E8D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C41E8D" w:rsidRPr="00FB62CF" w:rsidRDefault="00C41E8D" w:rsidP="00C41E8D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FB62CF">
        <w:rPr>
          <w:b/>
          <w:sz w:val="30"/>
          <w:szCs w:val="30"/>
        </w:rPr>
        <w:t>Предоставление льгот по  налогу на недвижимость, земельному налогу, а</w:t>
      </w:r>
      <w:r w:rsidRPr="00FB62CF">
        <w:rPr>
          <w:rFonts w:eastAsia="Calibri"/>
          <w:b/>
          <w:bCs/>
          <w:iCs/>
          <w:sz w:val="30"/>
          <w:szCs w:val="30"/>
        </w:rPr>
        <w:t>рендной плате за земельные участки.</w:t>
      </w:r>
    </w:p>
    <w:p w:rsidR="00C41E8D" w:rsidRPr="00FB62CF" w:rsidRDefault="00C41E8D" w:rsidP="00C41E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iCs/>
          <w:sz w:val="30"/>
          <w:szCs w:val="30"/>
        </w:rPr>
      </w:pPr>
      <w:r w:rsidRPr="00FB62CF">
        <w:rPr>
          <w:iCs/>
          <w:sz w:val="30"/>
          <w:szCs w:val="30"/>
        </w:rPr>
        <w:t>Подпунктом 1.1 пункта 1 Указа № 512 продлен срок, в течение которого возможно у</w:t>
      </w:r>
      <w:r w:rsidRPr="00FB62CF">
        <w:rPr>
          <w:sz w:val="30"/>
          <w:szCs w:val="30"/>
        </w:rPr>
        <w:t>меньшение сумм налога на недвижимость, земельного налога, а</w:t>
      </w:r>
      <w:r w:rsidRPr="00FB62CF">
        <w:rPr>
          <w:rFonts w:eastAsia="Calibri"/>
          <w:bCs/>
          <w:iCs/>
          <w:sz w:val="30"/>
          <w:szCs w:val="30"/>
        </w:rPr>
        <w:t xml:space="preserve">рендной платы за земельные участки на основании решений </w:t>
      </w:r>
      <w:r w:rsidRPr="00FB62CF">
        <w:rPr>
          <w:rFonts w:eastAsia="Calibri"/>
          <w:bCs/>
          <w:sz w:val="30"/>
          <w:szCs w:val="30"/>
        </w:rPr>
        <w:t xml:space="preserve">местных </w:t>
      </w:r>
      <w:r w:rsidRPr="00FB62CF">
        <w:rPr>
          <w:sz w:val="30"/>
          <w:szCs w:val="30"/>
        </w:rPr>
        <w:t xml:space="preserve">областных Советов депутатов или по их поручению местных Советов депутатов базового территориального уровня, Минского городского Совета депутатов, </w:t>
      </w:r>
      <w:r w:rsidRPr="00FB62CF">
        <w:rPr>
          <w:rFonts w:eastAsia="Calibri"/>
          <w:bCs/>
          <w:iCs/>
          <w:sz w:val="30"/>
          <w:szCs w:val="30"/>
        </w:rPr>
        <w:t>местных исполнительных комитетов (далее - местные органы власти)</w:t>
      </w:r>
      <w:r w:rsidRPr="00FB62CF">
        <w:rPr>
          <w:rFonts w:eastAsia="Calibri"/>
          <w:bCs/>
          <w:sz w:val="30"/>
          <w:szCs w:val="30"/>
        </w:rPr>
        <w:t xml:space="preserve">, </w:t>
      </w:r>
      <w:r w:rsidRPr="00FB62CF">
        <w:rPr>
          <w:rFonts w:eastAsia="Calibri"/>
          <w:bCs/>
          <w:iCs/>
          <w:sz w:val="30"/>
          <w:szCs w:val="30"/>
        </w:rPr>
        <w:t xml:space="preserve">администраций свободных экономических зон. </w:t>
      </w:r>
    </w:p>
    <w:p w:rsidR="00C41E8D" w:rsidRPr="00FB62CF" w:rsidRDefault="00C41E8D" w:rsidP="00C41E8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30"/>
          <w:szCs w:val="30"/>
        </w:rPr>
      </w:pPr>
      <w:r w:rsidRPr="00FB62CF">
        <w:rPr>
          <w:sz w:val="30"/>
          <w:szCs w:val="30"/>
        </w:rPr>
        <w:t>При этом, уменьшение сумм налога на недвижимость, земельного налога, а</w:t>
      </w:r>
      <w:r w:rsidRPr="00FB62CF">
        <w:rPr>
          <w:rFonts w:eastAsia="Calibri"/>
          <w:bCs/>
          <w:iCs/>
          <w:sz w:val="30"/>
          <w:szCs w:val="30"/>
        </w:rPr>
        <w:t xml:space="preserve">рендной платы за земельные участки в соответствии с подпунктами </w:t>
      </w:r>
      <w:r w:rsidRPr="00FB62CF">
        <w:rPr>
          <w:sz w:val="30"/>
          <w:szCs w:val="30"/>
        </w:rPr>
        <w:t>2.2 и 2.3 пункта 2 Указа № 143 в редакции</w:t>
      </w:r>
      <w:r w:rsidRPr="00FB62CF">
        <w:rPr>
          <w:rFonts w:eastAsia="Calibri"/>
          <w:bCs/>
          <w:iCs/>
          <w:sz w:val="30"/>
          <w:szCs w:val="30"/>
        </w:rPr>
        <w:t xml:space="preserve"> Указа № 512 производится на основании </w:t>
      </w:r>
      <w:r w:rsidRPr="00FB62CF">
        <w:rPr>
          <w:rFonts w:eastAsia="Calibri"/>
          <w:b/>
          <w:bCs/>
          <w:iCs/>
          <w:sz w:val="30"/>
          <w:szCs w:val="30"/>
        </w:rPr>
        <w:t xml:space="preserve">принятых в течение </w:t>
      </w:r>
      <w:r w:rsidRPr="00FB62CF">
        <w:rPr>
          <w:b/>
          <w:sz w:val="30"/>
          <w:szCs w:val="30"/>
          <w:lang w:val="en-US"/>
        </w:rPr>
        <w:t>II</w:t>
      </w:r>
      <w:r w:rsidRPr="00FB62CF">
        <w:rPr>
          <w:b/>
          <w:sz w:val="30"/>
          <w:szCs w:val="30"/>
        </w:rPr>
        <w:t>-</w:t>
      </w:r>
      <w:r w:rsidRPr="00FB62CF">
        <w:rPr>
          <w:b/>
          <w:sz w:val="30"/>
          <w:szCs w:val="30"/>
          <w:lang w:val="en-US"/>
        </w:rPr>
        <w:t>IV</w:t>
      </w:r>
      <w:r w:rsidRPr="00FB62CF">
        <w:rPr>
          <w:b/>
          <w:sz w:val="30"/>
          <w:szCs w:val="30"/>
        </w:rPr>
        <w:t xml:space="preserve"> кварталов 2020 года</w:t>
      </w:r>
      <w:r w:rsidRPr="00FB62CF">
        <w:rPr>
          <w:sz w:val="30"/>
          <w:szCs w:val="30"/>
        </w:rPr>
        <w:t xml:space="preserve"> </w:t>
      </w:r>
      <w:r w:rsidRPr="00FB62CF">
        <w:rPr>
          <w:rFonts w:eastAsia="Calibri"/>
          <w:bCs/>
          <w:iCs/>
          <w:sz w:val="30"/>
          <w:szCs w:val="30"/>
        </w:rPr>
        <w:t xml:space="preserve">решений </w:t>
      </w:r>
      <w:r w:rsidRPr="00FB62CF">
        <w:rPr>
          <w:rFonts w:eastAsia="Calibri"/>
          <w:bCs/>
          <w:sz w:val="30"/>
          <w:szCs w:val="30"/>
        </w:rPr>
        <w:t xml:space="preserve">местных </w:t>
      </w:r>
      <w:r w:rsidRPr="00FB62CF">
        <w:rPr>
          <w:rFonts w:eastAsia="Calibri"/>
          <w:bCs/>
          <w:iCs/>
          <w:sz w:val="30"/>
          <w:szCs w:val="30"/>
        </w:rPr>
        <w:t>органов власти</w:t>
      </w:r>
      <w:r w:rsidRPr="00FB62CF">
        <w:rPr>
          <w:rFonts w:eastAsia="Calibri"/>
          <w:bCs/>
          <w:sz w:val="30"/>
          <w:szCs w:val="30"/>
        </w:rPr>
        <w:t xml:space="preserve">, </w:t>
      </w:r>
      <w:r w:rsidRPr="00FB62CF">
        <w:rPr>
          <w:rFonts w:eastAsia="Calibri"/>
          <w:bCs/>
          <w:iCs/>
          <w:sz w:val="30"/>
          <w:szCs w:val="30"/>
        </w:rPr>
        <w:t xml:space="preserve">администраций свободных экономических зон. </w:t>
      </w:r>
    </w:p>
    <w:p w:rsidR="00C41E8D" w:rsidRPr="00FB62CF" w:rsidRDefault="00C41E8D" w:rsidP="00C41E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2CF">
        <w:rPr>
          <w:sz w:val="30"/>
          <w:szCs w:val="30"/>
        </w:rPr>
        <w:lastRenderedPageBreak/>
        <w:t>Применение преференций по налогу на недвижимость</w:t>
      </w:r>
      <w:r>
        <w:rPr>
          <w:sz w:val="30"/>
          <w:szCs w:val="30"/>
        </w:rPr>
        <w:t xml:space="preserve">, </w:t>
      </w:r>
      <w:r w:rsidRPr="00FB62CF">
        <w:rPr>
          <w:sz w:val="30"/>
          <w:szCs w:val="30"/>
        </w:rPr>
        <w:t xml:space="preserve">земельному налогу, </w:t>
      </w:r>
      <w:r w:rsidRPr="00FB62CF">
        <w:rPr>
          <w:rFonts w:eastAsia="Calibri"/>
          <w:bCs/>
          <w:iCs/>
          <w:sz w:val="30"/>
          <w:szCs w:val="30"/>
        </w:rPr>
        <w:t xml:space="preserve">арендной плате за земельные участки на основании подпунктов </w:t>
      </w:r>
      <w:r w:rsidRPr="00FB62CF">
        <w:rPr>
          <w:sz w:val="30"/>
          <w:szCs w:val="30"/>
        </w:rPr>
        <w:t xml:space="preserve">2.2 и 2.3 пункта 2 Указа № 143 до внесения изменений Указом № 512 ограничивалось </w:t>
      </w:r>
      <w:r w:rsidRPr="00FB62CF">
        <w:rPr>
          <w:b/>
          <w:sz w:val="30"/>
          <w:szCs w:val="30"/>
          <w:lang w:val="en-US"/>
        </w:rPr>
        <w:t>III</w:t>
      </w:r>
      <w:r w:rsidRPr="00FB62CF">
        <w:rPr>
          <w:b/>
          <w:sz w:val="30"/>
          <w:szCs w:val="30"/>
        </w:rPr>
        <w:t xml:space="preserve"> кварталом 2020 года</w:t>
      </w:r>
      <w:r w:rsidRPr="00FB62CF">
        <w:rPr>
          <w:sz w:val="30"/>
          <w:szCs w:val="30"/>
        </w:rPr>
        <w:t xml:space="preserve">. </w:t>
      </w:r>
    </w:p>
    <w:p w:rsidR="00C41E8D" w:rsidRPr="00FB62CF" w:rsidRDefault="00C41E8D" w:rsidP="00C41E8D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C41E8D" w:rsidRPr="00FB62CF" w:rsidRDefault="00C41E8D" w:rsidP="00C41E8D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FB62CF">
        <w:rPr>
          <w:b/>
          <w:sz w:val="30"/>
          <w:szCs w:val="30"/>
        </w:rPr>
        <w:t>Зачет разницы между суммой налоговых вычетов и общей суммой НДС, исчисленной по реализации товаров (работ, услуг), имущественных прав.</w:t>
      </w:r>
    </w:p>
    <w:p w:rsidR="00C41E8D" w:rsidRPr="00FB62CF" w:rsidRDefault="00C41E8D" w:rsidP="00C41E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2CF">
        <w:rPr>
          <w:iCs/>
          <w:sz w:val="30"/>
          <w:szCs w:val="30"/>
        </w:rPr>
        <w:t xml:space="preserve">Подпунктом 1.1 пункта 1 Указа № 512 </w:t>
      </w:r>
      <w:r w:rsidRPr="00FB62CF">
        <w:rPr>
          <w:b/>
          <w:sz w:val="30"/>
          <w:szCs w:val="30"/>
        </w:rPr>
        <w:t xml:space="preserve">продлен </w:t>
      </w:r>
      <w:r w:rsidRPr="00FB62CF">
        <w:rPr>
          <w:rFonts w:eastAsia="Calibri"/>
          <w:b/>
          <w:sz w:val="30"/>
          <w:szCs w:val="30"/>
        </w:rPr>
        <w:t xml:space="preserve">по </w:t>
      </w:r>
      <w:r w:rsidRPr="00FB62CF">
        <w:rPr>
          <w:b/>
          <w:sz w:val="30"/>
          <w:szCs w:val="30"/>
        </w:rPr>
        <w:t>31 марта 2021 г.</w:t>
      </w:r>
      <w:r w:rsidRPr="00FB62CF">
        <w:rPr>
          <w:sz w:val="30"/>
          <w:szCs w:val="30"/>
        </w:rPr>
        <w:t xml:space="preserve"> срок отчетных периодов, за которые плательщикам, перечисленным в перечне, утвержденном постановлением Совета Министров Республики Беларусь от 14.05.2020 № 282 «Об определении перечня плательщиков» (с дополнениями), осуществляется зачет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прав, в течение 10 рабочих дней со дня принятия налоговым органом в установленном </w:t>
      </w:r>
      <w:hyperlink r:id="rId8" w:history="1">
        <w:r w:rsidRPr="00FB62CF">
          <w:rPr>
            <w:sz w:val="30"/>
            <w:szCs w:val="30"/>
          </w:rPr>
          <w:t>порядке</w:t>
        </w:r>
      </w:hyperlink>
      <w:r w:rsidRPr="00FB62CF">
        <w:rPr>
          <w:sz w:val="30"/>
          <w:szCs w:val="30"/>
        </w:rPr>
        <w:t xml:space="preserve"> решения о возврате (полном или частичном отказе в возврате) такой разницы. </w:t>
      </w:r>
    </w:p>
    <w:p w:rsidR="00C41E8D" w:rsidRPr="00FB62CF" w:rsidRDefault="00C41E8D" w:rsidP="00C41E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41E8D" w:rsidRPr="00FB62CF" w:rsidRDefault="00C41E8D" w:rsidP="00C41E8D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FB62CF">
        <w:rPr>
          <w:b/>
          <w:sz w:val="30"/>
          <w:szCs w:val="30"/>
        </w:rPr>
        <w:t>Особенности исчисления НДС, налога на прибыль, налога при упрощенной системе налогообложения</w:t>
      </w:r>
      <w:r>
        <w:rPr>
          <w:b/>
          <w:sz w:val="30"/>
          <w:szCs w:val="30"/>
        </w:rPr>
        <w:t xml:space="preserve"> (далее - УСН)</w:t>
      </w:r>
      <w:r w:rsidRPr="00FB62CF">
        <w:rPr>
          <w:b/>
          <w:sz w:val="30"/>
          <w:szCs w:val="30"/>
        </w:rPr>
        <w:t>, обусловленные продлением моратория на увеличение базовой арендной величины.</w:t>
      </w:r>
    </w:p>
    <w:p w:rsidR="00C41E8D" w:rsidRPr="00C41E8D" w:rsidRDefault="00C41E8D" w:rsidP="00C41E8D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30"/>
          <w:szCs w:val="30"/>
        </w:rPr>
      </w:pPr>
      <w:r w:rsidRPr="00C41E8D">
        <w:rPr>
          <w:rFonts w:cs="Times New Roman"/>
          <w:iCs/>
          <w:sz w:val="30"/>
          <w:szCs w:val="30"/>
        </w:rPr>
        <w:t xml:space="preserve">Подпунктом 1.6 пункта 1 Указа № 512 предусмотрено, что срок действия </w:t>
      </w:r>
      <w:r w:rsidRPr="00C41E8D">
        <w:rPr>
          <w:rFonts w:cs="Times New Roman"/>
          <w:bCs/>
          <w:iCs/>
          <w:sz w:val="30"/>
          <w:szCs w:val="30"/>
        </w:rPr>
        <w:t xml:space="preserve">моратория на увеличение базовой арендной величины и арендной платы </w:t>
      </w:r>
      <w:r w:rsidRPr="00C41E8D">
        <w:rPr>
          <w:rFonts w:cs="Times New Roman"/>
          <w:iCs/>
          <w:sz w:val="30"/>
          <w:szCs w:val="30"/>
        </w:rPr>
        <w:t>за пользование недвижимым имуществом (далее – арендная плата) пролонгирован по 31 марта 2022 года. Действие указанного подпункта распространяется на отношения, возникшие с 1 октября 2020 г.</w:t>
      </w:r>
    </w:p>
    <w:p w:rsidR="00C41E8D" w:rsidRPr="00C41E8D" w:rsidRDefault="00C41E8D" w:rsidP="00C41E8D">
      <w:pPr>
        <w:pStyle w:val="26"/>
        <w:shd w:val="clear" w:color="auto" w:fill="auto"/>
        <w:spacing w:after="0" w:line="346" w:lineRule="exact"/>
        <w:ind w:right="20"/>
        <w:rPr>
          <w:rFonts w:ascii="Times New Roman" w:hAnsi="Times New Roman" w:cs="Times New Roman"/>
          <w:sz w:val="30"/>
          <w:szCs w:val="30"/>
        </w:rPr>
      </w:pPr>
      <w:r w:rsidRPr="00C41E8D">
        <w:rPr>
          <w:rFonts w:ascii="Times New Roman" w:hAnsi="Times New Roman" w:cs="Times New Roman"/>
          <w:sz w:val="30"/>
          <w:szCs w:val="30"/>
        </w:rPr>
        <w:t xml:space="preserve">При перерасчете арендной платы в сторону уменьшения за октябрь, ноябрь, декабрь 2020 г. </w:t>
      </w:r>
      <w:r w:rsidRPr="00C41E8D">
        <w:rPr>
          <w:rFonts w:ascii="Times New Roman" w:hAnsi="Times New Roman" w:cs="Times New Roman"/>
          <w:b/>
          <w:sz w:val="30"/>
          <w:szCs w:val="30"/>
        </w:rPr>
        <w:t xml:space="preserve">корректировка налоговой базы НДС  </w:t>
      </w:r>
      <w:r w:rsidRPr="00C41E8D">
        <w:rPr>
          <w:rFonts w:ascii="Times New Roman" w:hAnsi="Times New Roman" w:cs="Times New Roman"/>
          <w:sz w:val="30"/>
          <w:szCs w:val="30"/>
        </w:rPr>
        <w:t>производится арендодателем на основании статьи 129 Налогового кодекса Республики Беларусь (далее - НК) в текущем периоде, т.е. в 2021 году на основании согласованного арендодателем и арендатором уменьшения стоимости услуг (арендной платы), выставленного арендодателем дополнительного (исправленного) электронного счета-фактуры (далее — ЭСЧФ), подписанного арендатором электронной цифровой подписью (далее - ЭЦП), в случае если ранее выставленный ЭСЧФ был подписан ЭЦП арендатором.</w:t>
      </w:r>
    </w:p>
    <w:p w:rsidR="00C41E8D" w:rsidRPr="00C41E8D" w:rsidRDefault="00C41E8D" w:rsidP="00C41E8D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C41E8D">
        <w:rPr>
          <w:rFonts w:cs="Times New Roman"/>
          <w:sz w:val="30"/>
          <w:szCs w:val="30"/>
        </w:rPr>
        <w:t>Отражение в налоговой декларации (расчете) по НДС суммы уменьшения оборота по реализации применительно к дате подписания арендатором ЭЦП дополнительного</w:t>
      </w:r>
      <w:r w:rsidRPr="00FB62CF">
        <w:rPr>
          <w:sz w:val="30"/>
          <w:szCs w:val="30"/>
        </w:rPr>
        <w:t xml:space="preserve"> (исправленного) ЭСЧФ, выставленного арендодателем, производится в порядке, установленном пунктом 4 </w:t>
      </w:r>
      <w:r w:rsidRPr="00C41E8D">
        <w:rPr>
          <w:rFonts w:cs="Times New Roman"/>
          <w:sz w:val="30"/>
          <w:szCs w:val="30"/>
        </w:rPr>
        <w:t>статьи 129 НК.</w:t>
      </w:r>
    </w:p>
    <w:p w:rsidR="00C41E8D" w:rsidRPr="00C41E8D" w:rsidRDefault="00C41E8D" w:rsidP="00C41E8D">
      <w:pPr>
        <w:pStyle w:val="26"/>
        <w:shd w:val="clear" w:color="auto" w:fill="auto"/>
        <w:spacing w:after="0" w:line="346" w:lineRule="exact"/>
        <w:ind w:right="20"/>
        <w:rPr>
          <w:rFonts w:ascii="Times New Roman" w:hAnsi="Times New Roman" w:cs="Times New Roman"/>
          <w:sz w:val="30"/>
          <w:szCs w:val="30"/>
        </w:rPr>
      </w:pPr>
      <w:r w:rsidRPr="00C41E8D">
        <w:rPr>
          <w:rFonts w:ascii="Times New Roman" w:hAnsi="Times New Roman" w:cs="Times New Roman"/>
          <w:sz w:val="30"/>
          <w:szCs w:val="30"/>
        </w:rPr>
        <w:t>Корректировка налоговых вычетов в сторону уменьшения производится арендатором на основании пункта 18 статьи 133 НК в том отчетном периоде, на который приходится согласованное арендодателем и арендатором в установленном порядке уменьшение стоимости услуг (арендной платы).</w:t>
      </w:r>
    </w:p>
    <w:p w:rsidR="00C41E8D" w:rsidRPr="00FB62CF" w:rsidRDefault="00C41E8D" w:rsidP="00C41E8D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</w:rPr>
      </w:pPr>
      <w:r w:rsidRPr="00C41E8D">
        <w:rPr>
          <w:rFonts w:cs="Times New Roman"/>
          <w:iCs/>
          <w:sz w:val="30"/>
          <w:szCs w:val="30"/>
        </w:rPr>
        <w:t xml:space="preserve">По общему правилу, установленному частью второй пункта 13 статьи 168 НК </w:t>
      </w:r>
      <w:r w:rsidRPr="00C41E8D">
        <w:rPr>
          <w:rFonts w:cs="Times New Roman"/>
          <w:b/>
          <w:iCs/>
          <w:sz w:val="30"/>
          <w:szCs w:val="30"/>
        </w:rPr>
        <w:t>в целях исчисления налога на прибыль</w:t>
      </w:r>
      <w:r w:rsidRPr="00C41E8D">
        <w:rPr>
          <w:rFonts w:cs="Times New Roman"/>
          <w:iCs/>
          <w:sz w:val="30"/>
          <w:szCs w:val="30"/>
        </w:rPr>
        <w:t xml:space="preserve"> в случае уменьшения (увеличения) арендной</w:t>
      </w:r>
      <w:r w:rsidRPr="00FB62CF">
        <w:rPr>
          <w:iCs/>
          <w:sz w:val="30"/>
          <w:szCs w:val="30"/>
        </w:rPr>
        <w:t xml:space="preserve"> платы у арендодателя подлежат корректировке внереализационные доходы и (или) внереализационные расходы в том отчетном периоде, в котором имело место уменьшение (увеличение) арендной платы, а у арендатора в этом отчетном периоде производится соответствующая корректировка затрат, учитываемых при налогообложении.</w:t>
      </w:r>
    </w:p>
    <w:p w:rsidR="00C41E8D" w:rsidRPr="00FB62CF" w:rsidRDefault="00C41E8D" w:rsidP="00C41E8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B62CF">
        <w:rPr>
          <w:iCs/>
          <w:sz w:val="30"/>
          <w:szCs w:val="30"/>
        </w:rPr>
        <w:t xml:space="preserve">Исключения из этого правила предусмотрены частью третьей пункта 13 статьи 168 НК. К таким исключениям относятся, в частности, случаи уменьшения (увеличения) арендной платы, </w:t>
      </w:r>
      <w:r w:rsidRPr="00FB62CF">
        <w:rPr>
          <w:rFonts w:eastAsia="Calibri"/>
          <w:sz w:val="30"/>
          <w:szCs w:val="30"/>
        </w:rPr>
        <w:t xml:space="preserve">вызванные требованием (уведомлением, инициативой) третьих лиц, а не соглашением сторон, и не относятся случаи </w:t>
      </w:r>
      <w:r w:rsidRPr="00FB62CF">
        <w:rPr>
          <w:iCs/>
          <w:sz w:val="30"/>
          <w:szCs w:val="30"/>
        </w:rPr>
        <w:t xml:space="preserve">уменьшения (увеличения) арендной платы, вызванные вступлением в силу нормативно-правого акта, </w:t>
      </w:r>
      <w:r w:rsidRPr="00FB62CF">
        <w:rPr>
          <w:sz w:val="30"/>
          <w:szCs w:val="30"/>
        </w:rPr>
        <w:t xml:space="preserve">изменяющего размер арендной платы. </w:t>
      </w:r>
    </w:p>
    <w:p w:rsidR="00C41E8D" w:rsidRDefault="00C41E8D" w:rsidP="00C41E8D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</w:rPr>
      </w:pPr>
      <w:r w:rsidRPr="00FB62CF">
        <w:rPr>
          <w:iCs/>
          <w:sz w:val="30"/>
          <w:szCs w:val="30"/>
        </w:rPr>
        <w:t>Учитывая изложенное, при пересчете арендной платы за IV квартал 2020 г. на основании норм подпункта 1.6 пункта 1 Указа № 512 налоговая база для целей исчисления налога на прибыль у арендодателя и арендатора корректируется в том отчетном периоде, в котором произведен перерасчет арендной платы, т.е. в 2021 году.</w:t>
      </w:r>
    </w:p>
    <w:p w:rsidR="00C41E8D" w:rsidRPr="002B5392" w:rsidRDefault="00C41E8D" w:rsidP="00C41E8D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</w:rPr>
      </w:pPr>
      <w:r>
        <w:rPr>
          <w:bCs/>
          <w:sz w:val="30"/>
          <w:szCs w:val="30"/>
        </w:rPr>
        <w:t xml:space="preserve">Арендодатели, применявшие в 2020 году УСН и применяющие в 2021 году этот режим налогообложения, </w:t>
      </w:r>
      <w:r>
        <w:rPr>
          <w:iCs/>
          <w:sz w:val="30"/>
          <w:szCs w:val="30"/>
        </w:rPr>
        <w:t xml:space="preserve">в 2021 году </w:t>
      </w:r>
      <w:r w:rsidRPr="002B5392">
        <w:rPr>
          <w:iCs/>
          <w:sz w:val="30"/>
          <w:szCs w:val="30"/>
        </w:rPr>
        <w:t>при пересчете</w:t>
      </w:r>
      <w:r>
        <w:rPr>
          <w:iCs/>
          <w:sz w:val="30"/>
          <w:szCs w:val="30"/>
        </w:rPr>
        <w:t xml:space="preserve"> в</w:t>
      </w:r>
      <w:r w:rsidRPr="002B5392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сторону уменьшения </w:t>
      </w:r>
      <w:r w:rsidRPr="002B5392">
        <w:rPr>
          <w:iCs/>
          <w:sz w:val="30"/>
          <w:szCs w:val="30"/>
        </w:rPr>
        <w:t xml:space="preserve">арендной платы за </w:t>
      </w:r>
      <w:r>
        <w:rPr>
          <w:iCs/>
          <w:sz w:val="30"/>
          <w:szCs w:val="30"/>
        </w:rPr>
        <w:t xml:space="preserve">октябрь, ноябрь, декабрь </w:t>
      </w:r>
      <w:r w:rsidRPr="002B5392">
        <w:rPr>
          <w:iCs/>
          <w:sz w:val="30"/>
          <w:szCs w:val="30"/>
        </w:rPr>
        <w:t>2020 г</w:t>
      </w:r>
      <w:r>
        <w:rPr>
          <w:iCs/>
          <w:sz w:val="30"/>
          <w:szCs w:val="30"/>
        </w:rPr>
        <w:t>ода</w:t>
      </w:r>
      <w:r w:rsidRPr="002B5392">
        <w:rPr>
          <w:iCs/>
          <w:sz w:val="30"/>
          <w:szCs w:val="30"/>
        </w:rPr>
        <w:t xml:space="preserve"> на основании норм подпункта 1.6 пункта 1 Указа № 512</w:t>
      </w:r>
      <w:r>
        <w:rPr>
          <w:iCs/>
          <w:sz w:val="30"/>
          <w:szCs w:val="30"/>
        </w:rPr>
        <w:t>, руководствуясь положением</w:t>
      </w:r>
      <w:r w:rsidRPr="002B5392">
        <w:rPr>
          <w:i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абзаца девятого пункта 5 статьи 326 НК, </w:t>
      </w:r>
      <w:r>
        <w:rPr>
          <w:iCs/>
          <w:sz w:val="30"/>
          <w:szCs w:val="30"/>
        </w:rPr>
        <w:t xml:space="preserve">уменьшают сумму налога при УСН </w:t>
      </w:r>
      <w:r>
        <w:rPr>
          <w:bCs/>
          <w:sz w:val="30"/>
          <w:szCs w:val="30"/>
        </w:rPr>
        <w:t>в порядке, установленном подпунктом 2.1 пункта 2 статьи 331 НК.</w:t>
      </w:r>
    </w:p>
    <w:p w:rsidR="00C41E8D" w:rsidRDefault="00C41E8D" w:rsidP="00C41E8D">
      <w:pPr>
        <w:ind w:firstLine="708"/>
        <w:jc w:val="both"/>
        <w:rPr>
          <w:iCs/>
          <w:sz w:val="30"/>
          <w:szCs w:val="30"/>
        </w:rPr>
      </w:pPr>
      <w:r>
        <w:rPr>
          <w:sz w:val="30"/>
          <w:szCs w:val="30"/>
        </w:rPr>
        <w:t xml:space="preserve">Плательщиками, </w:t>
      </w:r>
      <w:r w:rsidRPr="00221320">
        <w:rPr>
          <w:sz w:val="30"/>
          <w:szCs w:val="30"/>
        </w:rPr>
        <w:t>пере</w:t>
      </w:r>
      <w:r>
        <w:rPr>
          <w:sz w:val="30"/>
          <w:szCs w:val="30"/>
        </w:rPr>
        <w:t xml:space="preserve">шедшими </w:t>
      </w:r>
      <w:r w:rsidRPr="00221320">
        <w:rPr>
          <w:sz w:val="30"/>
          <w:szCs w:val="30"/>
        </w:rPr>
        <w:t>с общей системы налогообложения на особые режимы налогообложения с 2021 года и наоборот</w:t>
      </w:r>
      <w:r>
        <w:rPr>
          <w:sz w:val="30"/>
          <w:szCs w:val="30"/>
        </w:rPr>
        <w:t>,</w:t>
      </w:r>
      <w:r w:rsidRPr="00221320">
        <w:rPr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уменьшение </w:t>
      </w:r>
      <w:r w:rsidRPr="002B5392">
        <w:rPr>
          <w:iCs/>
          <w:sz w:val="30"/>
          <w:szCs w:val="30"/>
        </w:rPr>
        <w:t xml:space="preserve">арендной платы за </w:t>
      </w:r>
      <w:r>
        <w:rPr>
          <w:iCs/>
          <w:sz w:val="30"/>
          <w:szCs w:val="30"/>
        </w:rPr>
        <w:t xml:space="preserve">октябрь, ноябрь, декабрь </w:t>
      </w:r>
      <w:r w:rsidRPr="002B5392">
        <w:rPr>
          <w:iCs/>
          <w:sz w:val="30"/>
          <w:szCs w:val="30"/>
        </w:rPr>
        <w:t>2020 г</w:t>
      </w:r>
      <w:r>
        <w:rPr>
          <w:iCs/>
          <w:sz w:val="30"/>
          <w:szCs w:val="30"/>
        </w:rPr>
        <w:t>ода</w:t>
      </w:r>
      <w:r w:rsidRPr="002B5392">
        <w:rPr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учитывается при формировании </w:t>
      </w:r>
      <w:r w:rsidRPr="00221320">
        <w:rPr>
          <w:sz w:val="30"/>
          <w:szCs w:val="30"/>
        </w:rPr>
        <w:t xml:space="preserve">налоговой базы того налога, при исчислении которого была учтена арендная плата </w:t>
      </w:r>
      <w:r w:rsidRPr="002B5392">
        <w:rPr>
          <w:iCs/>
          <w:sz w:val="30"/>
          <w:szCs w:val="30"/>
        </w:rPr>
        <w:t xml:space="preserve">за </w:t>
      </w:r>
      <w:r>
        <w:rPr>
          <w:iCs/>
          <w:sz w:val="30"/>
          <w:szCs w:val="30"/>
        </w:rPr>
        <w:t xml:space="preserve">октябрь, ноябрь, декабрь </w:t>
      </w:r>
      <w:r w:rsidRPr="002B5392">
        <w:rPr>
          <w:iCs/>
          <w:sz w:val="30"/>
          <w:szCs w:val="30"/>
        </w:rPr>
        <w:t>2020 г</w:t>
      </w:r>
      <w:r>
        <w:rPr>
          <w:iCs/>
          <w:sz w:val="30"/>
          <w:szCs w:val="30"/>
        </w:rPr>
        <w:t>ода.</w:t>
      </w:r>
    </w:p>
    <w:p w:rsidR="00C41E8D" w:rsidRDefault="00C41E8D" w:rsidP="00C41E8D">
      <w:pPr>
        <w:autoSpaceDE w:val="0"/>
        <w:autoSpaceDN w:val="0"/>
        <w:adjustRightInd w:val="0"/>
        <w:ind w:firstLine="709"/>
        <w:jc w:val="both"/>
        <w:rPr>
          <w:rFonts w:ascii="Calibri" w:hAnsi="Calibri"/>
          <w:b/>
          <w:iCs/>
          <w:spacing w:val="10"/>
          <w:sz w:val="30"/>
          <w:szCs w:val="30"/>
        </w:rPr>
      </w:pPr>
    </w:p>
    <w:p w:rsidR="00C41E8D" w:rsidRPr="00C41E8D" w:rsidRDefault="00C41E8D" w:rsidP="00C41E8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iCs/>
          <w:spacing w:val="10"/>
          <w:sz w:val="30"/>
          <w:szCs w:val="30"/>
        </w:rPr>
      </w:pPr>
      <w:r w:rsidRPr="00C41E8D">
        <w:rPr>
          <w:rFonts w:cs="Times New Roman"/>
          <w:b/>
          <w:iCs/>
          <w:spacing w:val="10"/>
          <w:sz w:val="30"/>
          <w:szCs w:val="30"/>
        </w:rPr>
        <w:t>Особенности определения момента фактической реализации по НДС.</w:t>
      </w:r>
    </w:p>
    <w:p w:rsidR="00C41E8D" w:rsidRPr="00C41E8D" w:rsidRDefault="00C41E8D" w:rsidP="00C41E8D">
      <w:pPr>
        <w:pStyle w:val="26"/>
        <w:shd w:val="clear" w:color="auto" w:fill="auto"/>
        <w:tabs>
          <w:tab w:val="left" w:pos="874"/>
        </w:tabs>
        <w:spacing w:after="0" w:line="346" w:lineRule="exact"/>
        <w:ind w:right="20" w:firstLine="0"/>
        <w:rPr>
          <w:rFonts w:ascii="Times New Roman" w:hAnsi="Times New Roman" w:cs="Times New Roman"/>
          <w:sz w:val="30"/>
          <w:szCs w:val="30"/>
        </w:rPr>
      </w:pPr>
      <w:r w:rsidRPr="00C41E8D">
        <w:rPr>
          <w:rFonts w:ascii="Times New Roman" w:hAnsi="Times New Roman" w:cs="Times New Roman"/>
          <w:sz w:val="30"/>
          <w:szCs w:val="30"/>
        </w:rPr>
        <w:tab/>
        <w:t>Подпунктом 1.7 пункта 1 Указа № 512 предоставлена преференция в виде смещения момента фактической реализации для целей исчисления НДС при предоставлении арендодателем отсрочки по оплате арендной платы за предусмотренное Указом № 512 недвижимое имущество арендатору.</w:t>
      </w:r>
    </w:p>
    <w:p w:rsidR="00C41E8D" w:rsidRPr="00C41E8D" w:rsidRDefault="00C41E8D" w:rsidP="00C41E8D">
      <w:pPr>
        <w:pStyle w:val="26"/>
        <w:shd w:val="clear" w:color="auto" w:fill="auto"/>
        <w:spacing w:after="0" w:line="346" w:lineRule="exact"/>
        <w:ind w:right="20" w:firstLine="708"/>
        <w:rPr>
          <w:rStyle w:val="12"/>
          <w:rFonts w:eastAsia="Calibri"/>
          <w:sz w:val="30"/>
          <w:szCs w:val="30"/>
        </w:rPr>
      </w:pPr>
      <w:r w:rsidRPr="00C41E8D">
        <w:rPr>
          <w:rFonts w:ascii="Times New Roman" w:hAnsi="Times New Roman" w:cs="Times New Roman"/>
          <w:sz w:val="30"/>
          <w:szCs w:val="30"/>
        </w:rPr>
        <w:t xml:space="preserve">Так, при предоставлении арендодателем отсрочки по оплате арендной платы за недвижимое имущество в соответствии с подпунктом 6.1 пункта 6 или пунктом 11 Указа № 143, </w:t>
      </w:r>
      <w:r w:rsidRPr="00C41E8D">
        <w:rPr>
          <w:rStyle w:val="12"/>
          <w:rFonts w:eastAsia="Calibri"/>
          <w:sz w:val="30"/>
          <w:szCs w:val="30"/>
        </w:rPr>
        <w:t>если день сдачи такого</w:t>
      </w:r>
      <w:r w:rsidRPr="00C41E8D">
        <w:rPr>
          <w:rFonts w:ascii="Times New Roman" w:hAnsi="Times New Roman" w:cs="Times New Roman"/>
          <w:sz w:val="30"/>
          <w:szCs w:val="30"/>
        </w:rPr>
        <w:t xml:space="preserve"> </w:t>
      </w:r>
      <w:r w:rsidRPr="00C41E8D">
        <w:rPr>
          <w:rStyle w:val="12"/>
          <w:rFonts w:eastAsia="Calibri"/>
          <w:sz w:val="30"/>
          <w:szCs w:val="30"/>
        </w:rPr>
        <w:t>недвижимого имущества в аренду приходится на период с 1 января по 30</w:t>
      </w:r>
      <w:r w:rsidRPr="00C41E8D">
        <w:rPr>
          <w:rFonts w:ascii="Times New Roman" w:hAnsi="Times New Roman" w:cs="Times New Roman"/>
          <w:sz w:val="30"/>
          <w:szCs w:val="30"/>
        </w:rPr>
        <w:t xml:space="preserve"> </w:t>
      </w:r>
      <w:r w:rsidRPr="00C41E8D">
        <w:rPr>
          <w:rStyle w:val="12"/>
          <w:rFonts w:eastAsia="Calibri"/>
          <w:sz w:val="30"/>
          <w:szCs w:val="30"/>
        </w:rPr>
        <w:t>июня 2021 г., д</w:t>
      </w:r>
      <w:r w:rsidRPr="00C41E8D">
        <w:rPr>
          <w:rFonts w:ascii="Times New Roman" w:hAnsi="Times New Roman" w:cs="Times New Roman"/>
          <w:sz w:val="30"/>
          <w:szCs w:val="30"/>
        </w:rPr>
        <w:t xml:space="preserve">нем сдачи арендодателем в аренду такого недвижимого имущества для целей исчисления НДС признается </w:t>
      </w:r>
      <w:r w:rsidRPr="00C41E8D">
        <w:rPr>
          <w:rStyle w:val="12"/>
          <w:rFonts w:eastAsia="Calibri"/>
          <w:sz w:val="30"/>
          <w:szCs w:val="30"/>
        </w:rPr>
        <w:t>31 декабря 2021 г.</w:t>
      </w:r>
    </w:p>
    <w:p w:rsidR="00C41E8D" w:rsidRPr="00C45DF3" w:rsidRDefault="00C41E8D" w:rsidP="00C41E8D">
      <w:pPr>
        <w:pStyle w:val="26"/>
        <w:shd w:val="clear" w:color="auto" w:fill="auto"/>
        <w:spacing w:after="0" w:line="346" w:lineRule="exact"/>
        <w:ind w:right="20" w:firstLine="708"/>
        <w:rPr>
          <w:rStyle w:val="12"/>
          <w:rFonts w:eastAsia="Calibri"/>
          <w:sz w:val="30"/>
          <w:szCs w:val="30"/>
        </w:rPr>
      </w:pPr>
      <w:r w:rsidRPr="00C41E8D">
        <w:rPr>
          <w:rStyle w:val="12"/>
          <w:rFonts w:eastAsia="Calibri"/>
          <w:sz w:val="30"/>
          <w:szCs w:val="30"/>
        </w:rPr>
        <w:t>Следует отметить, что применение вышеуказанной нормы в части смещения момента фактической</w:t>
      </w:r>
      <w:r w:rsidRPr="00436BEC">
        <w:rPr>
          <w:rStyle w:val="12"/>
          <w:rFonts w:eastAsia="Calibri"/>
          <w:sz w:val="30"/>
          <w:szCs w:val="30"/>
        </w:rPr>
        <w:t xml:space="preserve"> реализации является не правом плательщика, а следовательно, при предоставлении отсрочки по арендной плате у плательщика момент фактической реализации для целей исчисления НДС будет определяться в порядке, установленном Указом № 512.</w:t>
      </w:r>
      <w:r w:rsidRPr="00C45DF3">
        <w:rPr>
          <w:rStyle w:val="12"/>
          <w:rFonts w:eastAsia="Calibri"/>
          <w:sz w:val="30"/>
          <w:szCs w:val="30"/>
        </w:rPr>
        <w:t xml:space="preserve"> </w:t>
      </w:r>
    </w:p>
    <w:p w:rsidR="00C41E8D" w:rsidRPr="00C45DF3" w:rsidRDefault="00C41E8D" w:rsidP="00C41E8D">
      <w:pPr>
        <w:pStyle w:val="26"/>
        <w:shd w:val="clear" w:color="auto" w:fill="auto"/>
        <w:spacing w:after="0" w:line="346" w:lineRule="exact"/>
        <w:ind w:right="20" w:firstLine="708"/>
        <w:rPr>
          <w:rStyle w:val="12"/>
          <w:rFonts w:eastAsia="Calibri"/>
          <w:sz w:val="30"/>
          <w:szCs w:val="30"/>
        </w:rPr>
      </w:pPr>
    </w:p>
    <w:p w:rsidR="00C41E8D" w:rsidRPr="00740295" w:rsidRDefault="00C41E8D" w:rsidP="00C41E8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740295">
        <w:rPr>
          <w:b/>
          <w:sz w:val="30"/>
          <w:szCs w:val="30"/>
        </w:rPr>
        <w:t>Учет при исчислении налога на прибыль выплат работникам</w:t>
      </w:r>
      <w:r>
        <w:rPr>
          <w:b/>
          <w:sz w:val="30"/>
          <w:szCs w:val="30"/>
        </w:rPr>
        <w:t>.</w:t>
      </w:r>
    </w:p>
    <w:p w:rsidR="00C41E8D" w:rsidRPr="00740295" w:rsidRDefault="00C41E8D" w:rsidP="00C41E8D">
      <w:pPr>
        <w:autoSpaceDE w:val="0"/>
        <w:autoSpaceDN w:val="0"/>
        <w:adjustRightInd w:val="0"/>
        <w:ind w:firstLine="708"/>
        <w:jc w:val="both"/>
        <w:rPr>
          <w:iCs/>
          <w:sz w:val="30"/>
          <w:szCs w:val="30"/>
        </w:rPr>
      </w:pPr>
      <w:r w:rsidRPr="00740295">
        <w:rPr>
          <w:iCs/>
          <w:sz w:val="30"/>
          <w:szCs w:val="30"/>
        </w:rPr>
        <w:t>Подпунктом  1.8 пункта 1 Указа № 512 нанимателю предоставлено право:</w:t>
      </w:r>
    </w:p>
    <w:p w:rsidR="00C41E8D" w:rsidRPr="00740295" w:rsidRDefault="00C41E8D" w:rsidP="00C41E8D">
      <w:pPr>
        <w:pStyle w:val="il-text-indent095cm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740295">
        <w:rPr>
          <w:color w:val="000000"/>
          <w:sz w:val="30"/>
          <w:szCs w:val="30"/>
        </w:rPr>
        <w:t xml:space="preserve">предоставлять работнику с его согласия </w:t>
      </w:r>
      <w:r w:rsidRPr="00740295">
        <w:rPr>
          <w:b/>
          <w:color w:val="000000"/>
          <w:sz w:val="30"/>
          <w:szCs w:val="30"/>
        </w:rPr>
        <w:t>отпуск для нахождения в режиме самоизоляции</w:t>
      </w:r>
      <w:r w:rsidRPr="00740295">
        <w:rPr>
          <w:color w:val="000000"/>
          <w:sz w:val="30"/>
          <w:szCs w:val="30"/>
        </w:rPr>
        <w:t xml:space="preserve"> в месте, которое определяется нанимателем</w:t>
      </w:r>
      <w:r>
        <w:rPr>
          <w:color w:val="000000"/>
          <w:sz w:val="30"/>
          <w:szCs w:val="30"/>
        </w:rPr>
        <w:t>,</w:t>
      </w:r>
      <w:r w:rsidRPr="00740295">
        <w:rPr>
          <w:color w:val="000000"/>
          <w:sz w:val="30"/>
          <w:szCs w:val="30"/>
        </w:rPr>
        <w:t xml:space="preserve"> </w:t>
      </w:r>
      <w:r w:rsidRPr="00740295">
        <w:rPr>
          <w:b/>
          <w:color w:val="000000"/>
          <w:sz w:val="30"/>
          <w:szCs w:val="30"/>
        </w:rPr>
        <w:t xml:space="preserve">с сохранением работнику за период отпуска заработной платы </w:t>
      </w:r>
      <w:r w:rsidRPr="00740295">
        <w:rPr>
          <w:color w:val="000000"/>
          <w:sz w:val="30"/>
          <w:szCs w:val="30"/>
        </w:rPr>
        <w:t>в размере не ниже установленной тарифной ставки (тарифного оклада), оклада, если иное не установлено коллективным договором, соглашением (абзац третий подпункта 1.8 пункта 1 Указа № 512);</w:t>
      </w:r>
    </w:p>
    <w:p w:rsidR="00C41E8D" w:rsidRPr="00740295" w:rsidRDefault="00C41E8D" w:rsidP="00C41E8D">
      <w:pPr>
        <w:pStyle w:val="il-text-indent095cm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740295">
        <w:rPr>
          <w:b/>
          <w:color w:val="000000"/>
          <w:sz w:val="30"/>
          <w:szCs w:val="30"/>
        </w:rPr>
        <w:t>освобождать работника от работы</w:t>
      </w:r>
      <w:r w:rsidRPr="00740295">
        <w:rPr>
          <w:color w:val="000000"/>
          <w:sz w:val="30"/>
          <w:szCs w:val="30"/>
        </w:rPr>
        <w:t xml:space="preserve"> в связи с его болезненным состоянием на срок до трех календарных дней суммарно в течение срока действия Указа</w:t>
      </w:r>
      <w:r>
        <w:rPr>
          <w:color w:val="000000"/>
          <w:sz w:val="30"/>
          <w:szCs w:val="30"/>
        </w:rPr>
        <w:t xml:space="preserve"> № 143</w:t>
      </w:r>
      <w:r w:rsidRPr="00740295">
        <w:rPr>
          <w:color w:val="000000"/>
          <w:sz w:val="30"/>
          <w:szCs w:val="30"/>
        </w:rPr>
        <w:t xml:space="preserve"> без предоставления работником листка нетрудоспособности. </w:t>
      </w:r>
      <w:r w:rsidRPr="00740295">
        <w:rPr>
          <w:b/>
          <w:color w:val="000000"/>
          <w:sz w:val="30"/>
          <w:szCs w:val="30"/>
        </w:rPr>
        <w:t>Сохранение среднего заработка за период освобождения от работы может быть предусмотрено коллективным договором, иным локальным правовым актом организации</w:t>
      </w:r>
      <w:r w:rsidRPr="00740295">
        <w:rPr>
          <w:color w:val="000000"/>
          <w:sz w:val="30"/>
          <w:szCs w:val="30"/>
        </w:rPr>
        <w:t>, 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 (абзац шестой подпункта 1.8 пункта 1 Указа № 512).</w:t>
      </w:r>
    </w:p>
    <w:p w:rsidR="00C41E8D" w:rsidRDefault="00C41E8D" w:rsidP="00C41E8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40295">
        <w:rPr>
          <w:sz w:val="30"/>
          <w:szCs w:val="30"/>
        </w:rPr>
        <w:t xml:space="preserve">С учетом положений пункта 1, подпункта 2.9 пункта 2 статьи 170, подпункта 1.3 пункта 1 статьи 173 НК </w:t>
      </w:r>
      <w:r>
        <w:rPr>
          <w:sz w:val="30"/>
          <w:szCs w:val="30"/>
        </w:rPr>
        <w:t xml:space="preserve">(с учетом изменений НК с 2021 г.) вышеназванные </w:t>
      </w:r>
      <w:r w:rsidRPr="00740295">
        <w:rPr>
          <w:sz w:val="30"/>
          <w:szCs w:val="30"/>
        </w:rPr>
        <w:t xml:space="preserve">выплаты </w:t>
      </w:r>
      <w:r w:rsidRPr="00740295">
        <w:rPr>
          <w:color w:val="000000"/>
          <w:sz w:val="30"/>
          <w:szCs w:val="30"/>
        </w:rPr>
        <w:t xml:space="preserve">работникам, занятым в </w:t>
      </w:r>
      <w:r w:rsidRPr="00740295">
        <w:rPr>
          <w:sz w:val="30"/>
          <w:szCs w:val="30"/>
        </w:rPr>
        <w:t>процессе производства и реализации товаров (работ, услуг), имущественных прав</w:t>
      </w:r>
      <w:r w:rsidRPr="00740295">
        <w:rPr>
          <w:color w:val="000000"/>
          <w:sz w:val="30"/>
          <w:szCs w:val="30"/>
        </w:rPr>
        <w:t xml:space="preserve">, с соблюдением порядка, </w:t>
      </w:r>
      <w:r w:rsidRPr="00740295">
        <w:rPr>
          <w:sz w:val="30"/>
          <w:szCs w:val="30"/>
        </w:rPr>
        <w:t xml:space="preserve">установленного </w:t>
      </w:r>
      <w:r w:rsidRPr="00740295">
        <w:rPr>
          <w:color w:val="000000"/>
          <w:sz w:val="30"/>
          <w:szCs w:val="30"/>
        </w:rPr>
        <w:t xml:space="preserve">абзацем третьим и шестым подпункта 1.8 пункта 1 Указа № 512, </w:t>
      </w:r>
      <w:r>
        <w:rPr>
          <w:sz w:val="30"/>
          <w:szCs w:val="30"/>
        </w:rPr>
        <w:t xml:space="preserve">с 2021 г. </w:t>
      </w:r>
      <w:r w:rsidRPr="00740295">
        <w:rPr>
          <w:color w:val="000000"/>
          <w:sz w:val="30"/>
          <w:szCs w:val="30"/>
        </w:rPr>
        <w:t>подлежат при исчислении налога на прибыль включению в состав затрат по производству и реализации товаров (работ, услуг), имущественных прав.</w:t>
      </w:r>
      <w:r w:rsidRPr="00740295">
        <w:rPr>
          <w:rFonts w:eastAsia="Calibri"/>
          <w:sz w:val="30"/>
          <w:szCs w:val="30"/>
        </w:rPr>
        <w:t xml:space="preserve"> </w:t>
      </w:r>
      <w:r w:rsidRPr="00740295">
        <w:rPr>
          <w:color w:val="000000"/>
          <w:sz w:val="30"/>
          <w:szCs w:val="30"/>
        </w:rPr>
        <w:t>Указанные выплаты работникам, занятым в социальной сфере,</w:t>
      </w:r>
      <w:r w:rsidRPr="0039572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2021 г. </w:t>
      </w:r>
      <w:r w:rsidRPr="00740295">
        <w:rPr>
          <w:color w:val="000000"/>
          <w:sz w:val="30"/>
          <w:szCs w:val="30"/>
        </w:rPr>
        <w:t>подлежат включению в состав внереализационных расходов на основании подпункта 3.28 пункта 3 статьи 175 НК.</w:t>
      </w:r>
    </w:p>
    <w:p w:rsidR="00F1161A" w:rsidRPr="00A36D3D" w:rsidRDefault="00F1161A" w:rsidP="00F1161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1161A" w:rsidRPr="00A36D3D" w:rsidRDefault="00F1161A" w:rsidP="00F1161A">
      <w:pPr>
        <w:jc w:val="right"/>
        <w:rPr>
          <w:sz w:val="30"/>
          <w:szCs w:val="30"/>
        </w:rPr>
      </w:pPr>
      <w:r>
        <w:rPr>
          <w:sz w:val="30"/>
          <w:szCs w:val="30"/>
        </w:rPr>
        <w:t>И</w:t>
      </w:r>
      <w:r w:rsidRPr="00A36D3D">
        <w:rPr>
          <w:sz w:val="30"/>
          <w:szCs w:val="30"/>
        </w:rPr>
        <w:t>нспекци</w:t>
      </w:r>
      <w:r>
        <w:rPr>
          <w:sz w:val="30"/>
          <w:szCs w:val="30"/>
        </w:rPr>
        <w:t>я</w:t>
      </w:r>
      <w:r w:rsidRPr="00A36D3D">
        <w:rPr>
          <w:sz w:val="30"/>
          <w:szCs w:val="30"/>
        </w:rPr>
        <w:t xml:space="preserve"> МНС</w:t>
      </w:r>
    </w:p>
    <w:p w:rsidR="00F1161A" w:rsidRPr="00A36D3D" w:rsidRDefault="00F1161A" w:rsidP="00F1161A">
      <w:pPr>
        <w:jc w:val="right"/>
        <w:rPr>
          <w:sz w:val="30"/>
          <w:szCs w:val="30"/>
        </w:rPr>
      </w:pPr>
      <w:r w:rsidRPr="00A36D3D">
        <w:rPr>
          <w:sz w:val="30"/>
          <w:szCs w:val="30"/>
        </w:rPr>
        <w:t>Республики Беларусь</w:t>
      </w:r>
    </w:p>
    <w:p w:rsidR="00F1161A" w:rsidRPr="00A36D3D" w:rsidRDefault="00F1161A" w:rsidP="00F1161A">
      <w:pPr>
        <w:jc w:val="right"/>
        <w:rPr>
          <w:sz w:val="30"/>
          <w:szCs w:val="30"/>
        </w:rPr>
      </w:pPr>
      <w:r w:rsidRPr="00A36D3D">
        <w:rPr>
          <w:sz w:val="30"/>
          <w:szCs w:val="30"/>
        </w:rPr>
        <w:t xml:space="preserve">по </w:t>
      </w:r>
      <w:r>
        <w:rPr>
          <w:sz w:val="30"/>
          <w:szCs w:val="30"/>
        </w:rPr>
        <w:t>Кричевскому району</w:t>
      </w:r>
    </w:p>
    <w:p w:rsidR="00F1161A" w:rsidRDefault="00F1161A" w:rsidP="00E344B6">
      <w:pPr>
        <w:spacing w:line="180" w:lineRule="exact"/>
        <w:rPr>
          <w:sz w:val="30"/>
          <w:szCs w:val="30"/>
        </w:rPr>
      </w:pPr>
    </w:p>
    <w:sectPr w:rsidR="00F1161A" w:rsidSect="00EE7A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88" w:rsidRDefault="008B12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1288" w:rsidRDefault="008B12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88" w:rsidRDefault="008B12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1288" w:rsidRDefault="008B12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EB" w:rsidRDefault="00F76F14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D26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55E">
      <w:rPr>
        <w:rStyle w:val="aa"/>
        <w:noProof/>
      </w:rPr>
      <w:t>5</w:t>
    </w:r>
    <w:r>
      <w:rPr>
        <w:rStyle w:val="aa"/>
      </w:rPr>
      <w:fldChar w:fldCharType="end"/>
    </w:r>
  </w:p>
  <w:p w:rsidR="005D26EB" w:rsidRDefault="005D26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4D0"/>
    <w:multiLevelType w:val="hybridMultilevel"/>
    <w:tmpl w:val="BBFC2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204A8"/>
    <w:multiLevelType w:val="hybridMultilevel"/>
    <w:tmpl w:val="9710E0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650155C"/>
    <w:multiLevelType w:val="hybridMultilevel"/>
    <w:tmpl w:val="02109F3C"/>
    <w:lvl w:ilvl="0" w:tplc="5DE8E544">
      <w:start w:val="7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C9B73CF"/>
    <w:multiLevelType w:val="hybridMultilevel"/>
    <w:tmpl w:val="B35676C4"/>
    <w:lvl w:ilvl="0" w:tplc="46C20BDE">
      <w:start w:val="6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E867DD9"/>
    <w:multiLevelType w:val="hybridMultilevel"/>
    <w:tmpl w:val="7F0EE40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5">
    <w:nsid w:val="33EC2353"/>
    <w:multiLevelType w:val="hybridMultilevel"/>
    <w:tmpl w:val="C95A3A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04168"/>
    <w:multiLevelType w:val="hybridMultilevel"/>
    <w:tmpl w:val="01AA312E"/>
    <w:lvl w:ilvl="0" w:tplc="3EEAF7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0754C"/>
    <w:multiLevelType w:val="hybridMultilevel"/>
    <w:tmpl w:val="AC4EA58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B75BF"/>
    <w:multiLevelType w:val="hybridMultilevel"/>
    <w:tmpl w:val="D8002DD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58713FCC"/>
    <w:multiLevelType w:val="hybridMultilevel"/>
    <w:tmpl w:val="9268207A"/>
    <w:lvl w:ilvl="0" w:tplc="F438A36A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F557869"/>
    <w:multiLevelType w:val="hybridMultilevel"/>
    <w:tmpl w:val="97004184"/>
    <w:lvl w:ilvl="0" w:tplc="B194263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41880"/>
    <w:multiLevelType w:val="hybridMultilevel"/>
    <w:tmpl w:val="49AA5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6C86187"/>
    <w:multiLevelType w:val="hybridMultilevel"/>
    <w:tmpl w:val="773C9D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8056371"/>
    <w:multiLevelType w:val="hybridMultilevel"/>
    <w:tmpl w:val="71C4F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238A8"/>
    <w:multiLevelType w:val="hybridMultilevel"/>
    <w:tmpl w:val="3B28C2DE"/>
    <w:lvl w:ilvl="0" w:tplc="69C672CA">
      <w:start w:val="1"/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E751EDA"/>
    <w:multiLevelType w:val="hybridMultilevel"/>
    <w:tmpl w:val="644A017A"/>
    <w:lvl w:ilvl="0" w:tplc="A092A80C"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A2CA8"/>
    <w:rsid w:val="00015674"/>
    <w:rsid w:val="000172D4"/>
    <w:rsid w:val="000434DB"/>
    <w:rsid w:val="000B2F53"/>
    <w:rsid w:val="00171CD8"/>
    <w:rsid w:val="001725BE"/>
    <w:rsid w:val="00173C90"/>
    <w:rsid w:val="0018742C"/>
    <w:rsid w:val="0019162F"/>
    <w:rsid w:val="00195E96"/>
    <w:rsid w:val="001D7B16"/>
    <w:rsid w:val="001F3FCC"/>
    <w:rsid w:val="0024081F"/>
    <w:rsid w:val="0026784D"/>
    <w:rsid w:val="00290F4D"/>
    <w:rsid w:val="003311E2"/>
    <w:rsid w:val="0034796C"/>
    <w:rsid w:val="003666FE"/>
    <w:rsid w:val="00387A96"/>
    <w:rsid w:val="00415D06"/>
    <w:rsid w:val="0043369F"/>
    <w:rsid w:val="00433C9C"/>
    <w:rsid w:val="00487185"/>
    <w:rsid w:val="004C5B4B"/>
    <w:rsid w:val="004C6246"/>
    <w:rsid w:val="005029F3"/>
    <w:rsid w:val="00506B84"/>
    <w:rsid w:val="0051054F"/>
    <w:rsid w:val="00545D54"/>
    <w:rsid w:val="00557CCB"/>
    <w:rsid w:val="0056006A"/>
    <w:rsid w:val="005647A2"/>
    <w:rsid w:val="005718ED"/>
    <w:rsid w:val="005875A0"/>
    <w:rsid w:val="005977F5"/>
    <w:rsid w:val="005C455E"/>
    <w:rsid w:val="005D26EB"/>
    <w:rsid w:val="005F2C51"/>
    <w:rsid w:val="00617F02"/>
    <w:rsid w:val="00624281"/>
    <w:rsid w:val="00626C72"/>
    <w:rsid w:val="006427F8"/>
    <w:rsid w:val="00664299"/>
    <w:rsid w:val="00664338"/>
    <w:rsid w:val="00681ECA"/>
    <w:rsid w:val="006946F3"/>
    <w:rsid w:val="006A2CA8"/>
    <w:rsid w:val="006B6FB1"/>
    <w:rsid w:val="007336A3"/>
    <w:rsid w:val="007979A6"/>
    <w:rsid w:val="007A2206"/>
    <w:rsid w:val="007A2493"/>
    <w:rsid w:val="007A5EE6"/>
    <w:rsid w:val="007E4FAC"/>
    <w:rsid w:val="008064FB"/>
    <w:rsid w:val="00814F18"/>
    <w:rsid w:val="00861E83"/>
    <w:rsid w:val="00864DED"/>
    <w:rsid w:val="008A34CA"/>
    <w:rsid w:val="008B1288"/>
    <w:rsid w:val="008B4607"/>
    <w:rsid w:val="008D69B7"/>
    <w:rsid w:val="008E6FCD"/>
    <w:rsid w:val="00912EFD"/>
    <w:rsid w:val="009411A5"/>
    <w:rsid w:val="009D6905"/>
    <w:rsid w:val="009E7F7A"/>
    <w:rsid w:val="00A11980"/>
    <w:rsid w:val="00A11DE4"/>
    <w:rsid w:val="00A33A9D"/>
    <w:rsid w:val="00A368C2"/>
    <w:rsid w:val="00A66D9A"/>
    <w:rsid w:val="00A8010B"/>
    <w:rsid w:val="00A85930"/>
    <w:rsid w:val="00AF0FA4"/>
    <w:rsid w:val="00B00964"/>
    <w:rsid w:val="00B062C2"/>
    <w:rsid w:val="00B35F71"/>
    <w:rsid w:val="00B47641"/>
    <w:rsid w:val="00B57A44"/>
    <w:rsid w:val="00B61091"/>
    <w:rsid w:val="00BC23AD"/>
    <w:rsid w:val="00C0091F"/>
    <w:rsid w:val="00C12C4B"/>
    <w:rsid w:val="00C41E8D"/>
    <w:rsid w:val="00C4718A"/>
    <w:rsid w:val="00C64A25"/>
    <w:rsid w:val="00CA2978"/>
    <w:rsid w:val="00CC0CDD"/>
    <w:rsid w:val="00CE4F71"/>
    <w:rsid w:val="00D11E67"/>
    <w:rsid w:val="00D630AB"/>
    <w:rsid w:val="00D81A7D"/>
    <w:rsid w:val="00D86A52"/>
    <w:rsid w:val="00DA06DF"/>
    <w:rsid w:val="00DA0C0D"/>
    <w:rsid w:val="00DB7125"/>
    <w:rsid w:val="00DC137E"/>
    <w:rsid w:val="00DF1C31"/>
    <w:rsid w:val="00E344B6"/>
    <w:rsid w:val="00E50E4A"/>
    <w:rsid w:val="00E62461"/>
    <w:rsid w:val="00E75E68"/>
    <w:rsid w:val="00EE7A26"/>
    <w:rsid w:val="00EF4114"/>
    <w:rsid w:val="00F1161A"/>
    <w:rsid w:val="00F24C54"/>
    <w:rsid w:val="00F30B02"/>
    <w:rsid w:val="00F465D6"/>
    <w:rsid w:val="00F50059"/>
    <w:rsid w:val="00F60DAC"/>
    <w:rsid w:val="00F71C03"/>
    <w:rsid w:val="00F76F14"/>
    <w:rsid w:val="00FA5FA4"/>
    <w:rsid w:val="00FB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80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1980"/>
    <w:pPr>
      <w:keepNext/>
      <w:tabs>
        <w:tab w:val="left" w:pos="6840"/>
      </w:tabs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11980"/>
    <w:pPr>
      <w:keepNext/>
      <w:tabs>
        <w:tab w:val="left" w:pos="709"/>
        <w:tab w:val="left" w:pos="4536"/>
        <w:tab w:val="left" w:pos="5670"/>
        <w:tab w:val="left" w:pos="6804"/>
      </w:tabs>
      <w:spacing w:line="280" w:lineRule="exact"/>
      <w:jc w:val="both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A11980"/>
    <w:pPr>
      <w:keepNext/>
      <w:ind w:left="-1620" w:firstLine="1620"/>
      <w:outlineLvl w:val="2"/>
    </w:pPr>
  </w:style>
  <w:style w:type="paragraph" w:styleId="4">
    <w:name w:val="heading 4"/>
    <w:basedOn w:val="a"/>
    <w:next w:val="a"/>
    <w:link w:val="40"/>
    <w:qFormat/>
    <w:rsid w:val="00A66D9A"/>
    <w:pPr>
      <w:keepNext/>
      <w:spacing w:before="240" w:after="60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9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119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11980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A11980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11980"/>
    <w:pPr>
      <w:jc w:val="both"/>
    </w:pPr>
    <w:rPr>
      <w:rFonts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A11980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A11980"/>
    <w:pPr>
      <w:ind w:firstLine="720"/>
      <w:jc w:val="both"/>
    </w:pPr>
    <w:rPr>
      <w:rFonts w:cs="Times New Roman"/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1980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A11980"/>
    <w:pPr>
      <w:ind w:firstLine="709"/>
      <w:jc w:val="both"/>
    </w:pPr>
    <w:rPr>
      <w:rFonts w:cs="Times New Roman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1980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rsid w:val="00A1198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rsid w:val="00A11980"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0"/>
    <w:uiPriority w:val="99"/>
    <w:rsid w:val="00A11980"/>
    <w:rPr>
      <w:rFonts w:ascii="Times New Roman" w:hAnsi="Times New Roman" w:cs="Times New Roman"/>
    </w:rPr>
  </w:style>
  <w:style w:type="paragraph" w:customStyle="1" w:styleId="ab">
    <w:name w:val="СТАТЬЯ"/>
    <w:uiPriority w:val="99"/>
    <w:rsid w:val="00A11980"/>
    <w:pPr>
      <w:keepNext/>
      <w:keepLines/>
      <w:overflowPunct w:val="0"/>
      <w:autoSpaceDE w:val="0"/>
      <w:autoSpaceDN w:val="0"/>
      <w:adjustRightInd w:val="0"/>
      <w:spacing w:before="220" w:after="220"/>
      <w:ind w:left="2410" w:right="312" w:hanging="1701"/>
      <w:textAlignment w:val="baseline"/>
    </w:pPr>
    <w:rPr>
      <w:rFonts w:ascii="Times New Roman" w:hAnsi="Times New Roman" w:cs="Times New Roman"/>
      <w:b/>
      <w:bCs/>
      <w:noProof/>
      <w:sz w:val="30"/>
      <w:szCs w:val="30"/>
    </w:rPr>
  </w:style>
  <w:style w:type="paragraph" w:customStyle="1" w:styleId="ConsPlusNonformat">
    <w:name w:val="ConsPlusNonformat"/>
    <w:uiPriority w:val="99"/>
    <w:rsid w:val="00A119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A11980"/>
    <w:pPr>
      <w:ind w:right="98" w:firstLine="720"/>
      <w:jc w:val="both"/>
    </w:pPr>
    <w:rPr>
      <w:rFonts w:cs="Times New Roman"/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1980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A11980"/>
    <w:pPr>
      <w:widowControl w:val="0"/>
      <w:autoSpaceDE w:val="0"/>
      <w:autoSpaceDN w:val="0"/>
      <w:adjustRightInd w:val="0"/>
      <w:spacing w:line="290" w:lineRule="exact"/>
      <w:ind w:firstLine="653"/>
      <w:jc w:val="both"/>
    </w:pPr>
    <w:rPr>
      <w:rFonts w:ascii="Arial Narrow" w:hAnsi="Arial Narrow" w:cs="Arial Narrow"/>
      <w:sz w:val="24"/>
      <w:szCs w:val="24"/>
    </w:rPr>
  </w:style>
  <w:style w:type="paragraph" w:styleId="23">
    <w:name w:val="Body Text 2"/>
    <w:basedOn w:val="a"/>
    <w:link w:val="24"/>
    <w:uiPriority w:val="99"/>
    <w:rsid w:val="00A11980"/>
    <w:pPr>
      <w:tabs>
        <w:tab w:val="left" w:pos="900"/>
      </w:tabs>
      <w:ind w:right="-79"/>
      <w:jc w:val="both"/>
    </w:pPr>
    <w:rPr>
      <w:rFonts w:cs="Times New Roman"/>
      <w:sz w:val="30"/>
      <w:szCs w:val="30"/>
    </w:rPr>
  </w:style>
  <w:style w:type="character" w:customStyle="1" w:styleId="24">
    <w:name w:val="Основной текст 2 Знак"/>
    <w:basedOn w:val="a0"/>
    <w:link w:val="23"/>
    <w:uiPriority w:val="99"/>
    <w:rsid w:val="00A11980"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uiPriority w:val="99"/>
    <w:rsid w:val="00A11980"/>
    <w:rPr>
      <w:rFonts w:cs="Times New Roman"/>
      <w:sz w:val="18"/>
      <w:szCs w:val="18"/>
    </w:rPr>
  </w:style>
  <w:style w:type="character" w:customStyle="1" w:styleId="34">
    <w:name w:val="Основной текст 3 Знак"/>
    <w:basedOn w:val="a0"/>
    <w:link w:val="33"/>
    <w:uiPriority w:val="99"/>
    <w:rsid w:val="00A11980"/>
    <w:rPr>
      <w:rFonts w:ascii="Times New Roman" w:hAnsi="Times New Roman" w:cs="Times New Roman"/>
      <w:sz w:val="16"/>
      <w:szCs w:val="16"/>
    </w:rPr>
  </w:style>
  <w:style w:type="paragraph" w:styleId="ac">
    <w:name w:val="footnote text"/>
    <w:basedOn w:val="a"/>
    <w:link w:val="ad"/>
    <w:uiPriority w:val="99"/>
    <w:rsid w:val="00A11980"/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11980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11980"/>
    <w:rPr>
      <w:rFonts w:ascii="Times New Roman" w:hAnsi="Times New Roman" w:cs="Times New Roman"/>
      <w:vertAlign w:val="superscript"/>
    </w:rPr>
  </w:style>
  <w:style w:type="paragraph" w:customStyle="1" w:styleId="00004">
    <w:name w:val="00004"/>
    <w:basedOn w:val="a"/>
    <w:uiPriority w:val="99"/>
    <w:rsid w:val="00A11980"/>
    <w:pPr>
      <w:ind w:firstLine="540"/>
    </w:pPr>
    <w:rPr>
      <w:rFonts w:ascii="Arial" w:hAnsi="Arial" w:cs="Arial"/>
      <w:sz w:val="22"/>
      <w:szCs w:val="22"/>
    </w:rPr>
  </w:style>
  <w:style w:type="paragraph" w:customStyle="1" w:styleId="newsp">
    <w:name w:val="newsp"/>
    <w:basedOn w:val="a"/>
    <w:uiPriority w:val="99"/>
    <w:rsid w:val="00A11980"/>
    <w:pPr>
      <w:ind w:firstLine="250"/>
      <w:jc w:val="both"/>
    </w:pPr>
    <w:rPr>
      <w:rFonts w:ascii="Verdana" w:hAnsi="Verdana" w:cs="Verdana"/>
      <w:sz w:val="15"/>
      <w:szCs w:val="15"/>
    </w:rPr>
  </w:style>
  <w:style w:type="paragraph" w:customStyle="1" w:styleId="ConsPlusNormal">
    <w:name w:val="ConsPlusNormal"/>
    <w:rsid w:val="00A11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Title"/>
    <w:basedOn w:val="a"/>
    <w:link w:val="af0"/>
    <w:uiPriority w:val="99"/>
    <w:qFormat/>
    <w:rsid w:val="00A11980"/>
    <w:pPr>
      <w:jc w:val="center"/>
    </w:pPr>
    <w:rPr>
      <w:rFonts w:cs="Times New Roman"/>
      <w:sz w:val="30"/>
      <w:szCs w:val="30"/>
    </w:rPr>
  </w:style>
  <w:style w:type="character" w:customStyle="1" w:styleId="af0">
    <w:name w:val="Название Знак"/>
    <w:basedOn w:val="a0"/>
    <w:link w:val="af"/>
    <w:uiPriority w:val="99"/>
    <w:rsid w:val="00A11980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Обычный1"/>
    <w:uiPriority w:val="99"/>
    <w:rsid w:val="00A11980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sid w:val="00A11980"/>
    <w:rPr>
      <w:rFonts w:ascii="Times New Roman" w:hAnsi="Times New Roman" w:cs="Times New Roman"/>
      <w:color w:val="0000FF"/>
      <w:u w:val="single"/>
    </w:rPr>
  </w:style>
  <w:style w:type="paragraph" w:customStyle="1" w:styleId="25">
    <w:name w:val="Обычный2"/>
    <w:rsid w:val="005647A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11DE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2">
    <w:name w:val="Table Grid"/>
    <w:basedOn w:val="a1"/>
    <w:rsid w:val="00DF1C3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66D9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l-text-indent095cm">
    <w:name w:val="il-text-indent_0_95cm"/>
    <w:basedOn w:val="a"/>
    <w:rsid w:val="00C41E8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3">
    <w:name w:val="Основной текст_"/>
    <w:link w:val="26"/>
    <w:rsid w:val="00C41E8D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C41E8D"/>
    <w:pPr>
      <w:widowControl w:val="0"/>
      <w:shd w:val="clear" w:color="auto" w:fill="FFFFFF"/>
      <w:spacing w:after="300" w:line="350" w:lineRule="exact"/>
      <w:ind w:firstLine="540"/>
      <w:jc w:val="both"/>
    </w:pPr>
    <w:rPr>
      <w:rFonts w:asciiTheme="minorHAnsi" w:hAnsiTheme="minorHAnsi"/>
      <w:sz w:val="27"/>
      <w:szCs w:val="27"/>
    </w:rPr>
  </w:style>
  <w:style w:type="character" w:customStyle="1" w:styleId="12">
    <w:name w:val="Основной текст1"/>
    <w:rsid w:val="00C41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6840"/>
      </w:tabs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color w:val="000000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709"/>
        <w:tab w:val="left" w:pos="4536"/>
        <w:tab w:val="left" w:pos="5670"/>
        <w:tab w:val="left" w:pos="6804"/>
      </w:tabs>
      <w:spacing w:line="280" w:lineRule="exact"/>
      <w:jc w:val="both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-1620" w:firstLine="16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rFonts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pPr>
      <w:ind w:firstLine="720"/>
      <w:jc w:val="both"/>
    </w:pPr>
    <w:rPr>
      <w:rFonts w:cs="Times New Roman"/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b">
    <w:name w:val="СТАТЬЯ"/>
    <w:uiPriority w:val="99"/>
    <w:pPr>
      <w:keepNext/>
      <w:keepLines/>
      <w:overflowPunct w:val="0"/>
      <w:autoSpaceDE w:val="0"/>
      <w:autoSpaceDN w:val="0"/>
      <w:adjustRightInd w:val="0"/>
      <w:spacing w:before="220" w:after="220"/>
      <w:ind w:left="2410" w:right="312" w:hanging="1701"/>
      <w:textAlignment w:val="baseline"/>
    </w:pPr>
    <w:rPr>
      <w:rFonts w:ascii="Times New Roman" w:hAnsi="Times New Roman" w:cs="Times New Roman"/>
      <w:b/>
      <w:bCs/>
      <w:noProof/>
      <w:sz w:val="30"/>
      <w:szCs w:val="3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pPr>
      <w:ind w:right="98" w:firstLine="720"/>
      <w:jc w:val="both"/>
    </w:pPr>
    <w:rPr>
      <w:rFonts w:cs="Times New Roman"/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290" w:lineRule="exact"/>
      <w:ind w:firstLine="653"/>
      <w:jc w:val="both"/>
    </w:pPr>
    <w:rPr>
      <w:rFonts w:ascii="Arial Narrow" w:hAnsi="Arial Narrow" w:cs="Arial Narrow"/>
      <w:sz w:val="24"/>
      <w:szCs w:val="24"/>
    </w:rPr>
  </w:style>
  <w:style w:type="paragraph" w:styleId="23">
    <w:name w:val="Body Text 2"/>
    <w:basedOn w:val="a"/>
    <w:link w:val="24"/>
    <w:uiPriority w:val="99"/>
    <w:pPr>
      <w:tabs>
        <w:tab w:val="left" w:pos="900"/>
      </w:tabs>
      <w:ind w:right="-79"/>
      <w:jc w:val="both"/>
    </w:pPr>
    <w:rPr>
      <w:rFonts w:cs="Times New Roman"/>
      <w:sz w:val="30"/>
      <w:szCs w:val="30"/>
    </w:rPr>
  </w:style>
  <w:style w:type="character" w:customStyle="1" w:styleId="24">
    <w:name w:val="Основной текст 2 Знак"/>
    <w:basedOn w:val="a0"/>
    <w:link w:val="23"/>
    <w:uiPriority w:val="99"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uiPriority w:val="99"/>
    <w:rPr>
      <w:rFonts w:cs="Times New Roman"/>
      <w:sz w:val="18"/>
      <w:szCs w:val="18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hAnsi="Times New Roman" w:cs="Times New Roman"/>
      <w:sz w:val="16"/>
      <w:szCs w:val="16"/>
    </w:rPr>
  </w:style>
  <w:style w:type="paragraph" w:styleId="ac">
    <w:name w:val="footnote text"/>
    <w:basedOn w:val="a"/>
    <w:link w:val="ad"/>
    <w:uiPriority w:val="99"/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00004">
    <w:name w:val="00004"/>
    <w:basedOn w:val="a"/>
    <w:uiPriority w:val="99"/>
    <w:pPr>
      <w:ind w:firstLine="540"/>
    </w:pPr>
    <w:rPr>
      <w:rFonts w:ascii="Arial" w:hAnsi="Arial" w:cs="Arial"/>
      <w:sz w:val="22"/>
      <w:szCs w:val="22"/>
    </w:rPr>
  </w:style>
  <w:style w:type="paragraph" w:customStyle="1" w:styleId="newsp">
    <w:name w:val="newsp"/>
    <w:basedOn w:val="a"/>
    <w:uiPriority w:val="99"/>
    <w:pPr>
      <w:ind w:firstLine="250"/>
      <w:jc w:val="both"/>
    </w:pPr>
    <w:rPr>
      <w:rFonts w:ascii="Verdana" w:hAnsi="Verdana" w:cs="Verdana"/>
      <w:sz w:val="15"/>
      <w:szCs w:val="15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Title"/>
    <w:basedOn w:val="a"/>
    <w:link w:val="af0"/>
    <w:uiPriority w:val="99"/>
    <w:qFormat/>
    <w:pPr>
      <w:jc w:val="center"/>
    </w:pPr>
    <w:rPr>
      <w:rFonts w:cs="Times New Roman"/>
      <w:sz w:val="30"/>
      <w:szCs w:val="30"/>
    </w:rPr>
  </w:style>
  <w:style w:type="character" w:customStyle="1" w:styleId="af0">
    <w:name w:val="Название Знак"/>
    <w:basedOn w:val="a0"/>
    <w:link w:val="af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Обычный1"/>
    <w:uiPriority w:val="99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25">
    <w:name w:val="Обычный2"/>
    <w:rsid w:val="005647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A3100F9C63B927EADE3B1EA3B5E71985930EFFC12D029FDBB0DCF44D965FF37FC3498A904C18C476EA03F32D9B1A1F2582FC612E91D0A622DA98C89B9T0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2315-83D6-4770-847E-9F89A40E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Инспекции Министерства по налогам и сборам Республики Беларусь по областям и  г</vt:lpstr>
    </vt:vector>
  </TitlesOfParts>
  <Company>MNS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Инспекции Министерства по налогам и сборам Республики Беларусь по областям и  г</dc:title>
  <dc:creator>User</dc:creator>
  <cp:lastModifiedBy>Швингельская Ольга Владимировна</cp:lastModifiedBy>
  <cp:revision>2</cp:revision>
  <cp:lastPrinted>2018-04-09T08:33:00Z</cp:lastPrinted>
  <dcterms:created xsi:type="dcterms:W3CDTF">2021-03-01T08:50:00Z</dcterms:created>
  <dcterms:modified xsi:type="dcterms:W3CDTF">2021-03-01T08:50:00Z</dcterms:modified>
</cp:coreProperties>
</file>