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D967A" w14:textId="4FECF4F6" w:rsidR="00017C6D" w:rsidRDefault="00017C6D" w:rsidP="00017C6D">
      <w:pPr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bookmarkStart w:id="0" w:name="_GoBack"/>
      <w:bookmarkEnd w:id="0"/>
      <w:r w:rsidRPr="00017C6D">
        <w:rPr>
          <w:rFonts w:eastAsia="Times New Roman"/>
          <w:b/>
          <w:bCs/>
          <w:color w:val="1A1A1A"/>
          <w:szCs w:val="30"/>
          <w:lang w:eastAsia="ru-RU"/>
        </w:rPr>
        <w:t>Об организации с 1 июля 2025 г. дифференцированного учета данных о реализуемых товарах, подлежащих маркировке</w:t>
      </w:r>
    </w:p>
    <w:p w14:paraId="507E58F5" w14:textId="77777777" w:rsidR="00017C6D" w:rsidRPr="00017C6D" w:rsidRDefault="00017C6D" w:rsidP="00017C6D">
      <w:pPr>
        <w:outlineLvl w:val="1"/>
        <w:rPr>
          <w:rFonts w:eastAsia="Times New Roman"/>
          <w:color w:val="1A1A1A"/>
          <w:szCs w:val="30"/>
          <w:lang w:eastAsia="ru-RU"/>
        </w:rPr>
      </w:pPr>
    </w:p>
    <w:p w14:paraId="613278E5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Министерство по налогам и сборам в связи с поступающими обращениями от субъектов малого бизнеса в части обеспечения с 1 июля 2025 г. дифференцированного учета данных о реализуемых товарах, подлежащих маркировке, сообщает.</w:t>
      </w:r>
    </w:p>
    <w:p w14:paraId="6854DA55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В соответствии с пунктом 10-1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(далее – Положение № 924/16),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1 июля 2025 г.</w:t>
      </w:r>
      <w:r w:rsidRPr="00017C6D">
        <w:rPr>
          <w:rFonts w:eastAsia="Times New Roman"/>
          <w:color w:val="1A1A1A"/>
          <w:szCs w:val="30"/>
          <w:lang w:eastAsia="ru-RU"/>
        </w:rPr>
        <w:t> юридические лица и индивидуальные предприниматели,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осуществляющие продажу товаров, подлежащих маркировке,</w:t>
      </w:r>
      <w:r w:rsidRPr="00017C6D">
        <w:rPr>
          <w:rFonts w:eastAsia="Times New Roman"/>
          <w:color w:val="1A1A1A"/>
          <w:szCs w:val="30"/>
          <w:lang w:eastAsia="ru-RU"/>
        </w:rPr>
        <w:t> используют кассовые суммирующие аппараты с установленным средством контроля налоговых органов и программные кассы, обеспечивающие считывание кода маркировки либо уникальной последовательности,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дифференцированный учет данных о реализуемых товарах, подлежащих маркировке, предусмотренный в пункте 10 Положения № 924/16</w:t>
      </w:r>
      <w:r w:rsidRPr="00017C6D">
        <w:rPr>
          <w:rFonts w:eastAsia="Times New Roman"/>
          <w:color w:val="1A1A1A"/>
          <w:szCs w:val="30"/>
          <w:lang w:eastAsia="ru-RU"/>
        </w:rPr>
        <w:t>, и передачу информации о кодах маркировки, уникальной последовательности в систему контроля кассового оборудования.</w:t>
      </w:r>
    </w:p>
    <w:p w14:paraId="1A48D35C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i/>
          <w:iCs/>
          <w:color w:val="1A1A1A"/>
          <w:szCs w:val="30"/>
          <w:bdr w:val="none" w:sz="0" w:space="0" w:color="auto" w:frame="1"/>
          <w:lang w:eastAsia="ru-RU"/>
        </w:rPr>
        <w:t>Справочно. В соответствии с приложением 3 к постановлению № 924/16 под дифференцированным учетом понимается автоматизированный учет, предусматривающий наличие у юридического лица и индивидуального предпринимателя информации о наименовании, количестве и стоимости предлагаемых к реализации товаров и реализуемых товарах в торговых объектах.</w:t>
      </w:r>
    </w:p>
    <w:p w14:paraId="76E13A26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При этом частью второй пункта 10 Положения № 924/16 определено, что дифференцированный учет данных о реализуемых товарах, подлежащих товарной нумерации и штриховому кодированию, осуществляется с использованием международного идентификационного номера товара (глобальный номер торговой единицы – Global Trade Item Number (GTIN), наносимого на товар (этикетку, упаковку) в виде машиночитаемых символик (штриховых идентификационных кодов). Источником данных о таком номере является межведомственная распределенная информационная система «Банк данных электронных паспортов товаров».</w:t>
      </w:r>
    </w:p>
    <w:p w14:paraId="3980B9D1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Дифференцированный учет данных о реализации товаров может быть обеспечен в кассовом оборудовании 2 способами:</w:t>
      </w:r>
    </w:p>
    <w:p w14:paraId="1A656410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 способ – с использованием внутренней базы товаров</w:t>
      </w:r>
      <w:r w:rsidRPr="00017C6D">
        <w:rPr>
          <w:rFonts w:eastAsia="Times New Roman"/>
          <w:color w:val="1A1A1A"/>
          <w:szCs w:val="30"/>
          <w:lang w:eastAsia="ru-RU"/>
        </w:rPr>
        <w:t> (хранящейся в памяти кассового аппарата, программном обеспечении программной кассы или внешних носителях информации);</w:t>
      </w:r>
    </w:p>
    <w:p w14:paraId="3EBC8B2F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2 способ – взаимодействием с внешней базой товаров</w:t>
      </w:r>
      <w:r w:rsidRPr="00017C6D">
        <w:rPr>
          <w:rFonts w:eastAsia="Times New Roman"/>
          <w:color w:val="1A1A1A"/>
          <w:szCs w:val="30"/>
          <w:lang w:eastAsia="ru-RU"/>
        </w:rPr>
        <w:t> (в составе кассовой компьютерной системы (в отношении кассовых аппаратов) либо взаимодействующее с товарно-учетной системой субъекта торговли (в отношении программных касс).</w:t>
      </w:r>
    </w:p>
    <w:p w14:paraId="62346DF4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lastRenderedPageBreak/>
        <w:t>Для реализации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 способа</w:t>
      </w:r>
      <w:r w:rsidRPr="00017C6D">
        <w:rPr>
          <w:rFonts w:eastAsia="Times New Roman"/>
          <w:color w:val="1A1A1A"/>
          <w:szCs w:val="30"/>
          <w:lang w:eastAsia="ru-RU"/>
        </w:rPr>
        <w:t> субъекту хозяйствования для реализации ведения дифференцированного учета данных о товарах необходимо на кассовом оборудовании (памяти кассового аппарата, программном обеспечении программной кассы или других внешних носителях информации)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создать базу товаров</w:t>
      </w:r>
      <w:r w:rsidRPr="00017C6D">
        <w:rPr>
          <w:rFonts w:eastAsia="Times New Roman"/>
          <w:color w:val="1A1A1A"/>
          <w:szCs w:val="30"/>
          <w:lang w:eastAsia="ru-RU"/>
        </w:rPr>
        <w:t> и включить в нее следующие сведения:</w:t>
      </w:r>
    </w:p>
    <w:p w14:paraId="106B085A" w14:textId="77777777" w:rsidR="00017C6D" w:rsidRPr="00017C6D" w:rsidRDefault="00017C6D" w:rsidP="00017C6D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количество предлагаемых к реализации товаров;</w:t>
      </w:r>
    </w:p>
    <w:p w14:paraId="752C2EF2" w14:textId="77777777" w:rsidR="00017C6D" w:rsidRPr="00017C6D" w:rsidRDefault="00017C6D" w:rsidP="00017C6D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наименование товара;</w:t>
      </w:r>
    </w:p>
    <w:p w14:paraId="3B11FA57" w14:textId="77777777" w:rsidR="00017C6D" w:rsidRPr="00017C6D" w:rsidRDefault="00017C6D" w:rsidP="00017C6D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стоимость (цена) товара;</w:t>
      </w:r>
    </w:p>
    <w:p w14:paraId="3BBDC255" w14:textId="77777777" w:rsidR="00017C6D" w:rsidRPr="00017C6D" w:rsidRDefault="00017C6D" w:rsidP="00017C6D">
      <w:pPr>
        <w:numPr>
          <w:ilvl w:val="0"/>
          <w:numId w:val="1"/>
        </w:numPr>
        <w:ind w:left="0" w:firstLine="567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bdr w:val="none" w:sz="0" w:space="0" w:color="auto" w:frame="1"/>
          <w:lang w:eastAsia="ru-RU"/>
        </w:rPr>
        <w:t>GTIN, </w:t>
      </w:r>
      <w:r w:rsidRPr="00017C6D">
        <w:rPr>
          <w:rFonts w:eastAsia="Times New Roman"/>
          <w:b/>
          <w:bCs/>
          <w:i/>
          <w:iCs/>
          <w:color w:val="1A1A1A"/>
          <w:szCs w:val="30"/>
          <w:bdr w:val="none" w:sz="0" w:space="0" w:color="auto" w:frame="1"/>
          <w:lang w:eastAsia="ru-RU"/>
        </w:rPr>
        <w:t>включая технический GTIN, использованный для формирования упрощенных средств идентификации для маркировки остатков товаров</w:t>
      </w:r>
      <w:r w:rsidRPr="00017C6D">
        <w:rPr>
          <w:rFonts w:eastAsia="Times New Roman"/>
          <w:color w:val="1A1A1A"/>
          <w:szCs w:val="30"/>
          <w:bdr w:val="none" w:sz="0" w:space="0" w:color="auto" w:frame="1"/>
          <w:lang w:eastAsia="ru-RU"/>
        </w:rPr>
        <w:t>.</w:t>
      </w:r>
    </w:p>
    <w:p w14:paraId="79D511D7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При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втором </w:t>
      </w:r>
      <w:r w:rsidRPr="00017C6D">
        <w:rPr>
          <w:rFonts w:eastAsia="Times New Roman"/>
          <w:color w:val="1A1A1A"/>
          <w:szCs w:val="30"/>
          <w:lang w:eastAsia="ru-RU"/>
        </w:rPr>
        <w:t>способе кассовое оборудование обеспечивает дифференцированный учет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составе</w:t>
      </w:r>
      <w:r w:rsidRPr="00017C6D">
        <w:rPr>
          <w:rFonts w:eastAsia="Times New Roman"/>
          <w:color w:val="1A1A1A"/>
          <w:szCs w:val="30"/>
          <w:lang w:eastAsia="ru-RU"/>
        </w:rPr>
        <w:t> кассовой компьютерной системы (в отношении кассовых аппаратов) либо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взаимодействует </w:t>
      </w:r>
      <w:r w:rsidRPr="00017C6D">
        <w:rPr>
          <w:rFonts w:eastAsia="Times New Roman"/>
          <w:color w:val="1A1A1A"/>
          <w:szCs w:val="30"/>
          <w:lang w:eastAsia="ru-RU"/>
        </w:rPr>
        <w:t>с товарно-учетной системой субъекта торговли (в отношении программных касс) и должно обеспечивать передачу в такие системы следующий сведений:</w:t>
      </w:r>
    </w:p>
    <w:p w14:paraId="7E1A5292" w14:textId="77777777" w:rsidR="00017C6D" w:rsidRPr="00017C6D" w:rsidRDefault="00017C6D" w:rsidP="00017C6D">
      <w:pPr>
        <w:numPr>
          <w:ilvl w:val="0"/>
          <w:numId w:val="2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о проданных и возвращенных (в том числе при аннулировании) товарах;</w:t>
      </w:r>
    </w:p>
    <w:p w14:paraId="52DEB9C7" w14:textId="77777777" w:rsidR="00017C6D" w:rsidRPr="00017C6D" w:rsidRDefault="00017C6D" w:rsidP="00017C6D">
      <w:pPr>
        <w:numPr>
          <w:ilvl w:val="0"/>
          <w:numId w:val="2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количество реализованных (возвращенных) товаров;</w:t>
      </w:r>
    </w:p>
    <w:p w14:paraId="4589E22E" w14:textId="77777777" w:rsidR="00017C6D" w:rsidRPr="00017C6D" w:rsidRDefault="00017C6D" w:rsidP="00017C6D">
      <w:pPr>
        <w:numPr>
          <w:ilvl w:val="0"/>
          <w:numId w:val="2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наименование реализованного (возвращенного) товара;</w:t>
      </w:r>
    </w:p>
    <w:p w14:paraId="55B6E536" w14:textId="77777777" w:rsidR="00017C6D" w:rsidRPr="00017C6D" w:rsidRDefault="00017C6D" w:rsidP="00017C6D">
      <w:pPr>
        <w:numPr>
          <w:ilvl w:val="0"/>
          <w:numId w:val="2"/>
        </w:numPr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стоимость (цена) реализованного (возвращенного) товара;</w:t>
      </w:r>
    </w:p>
    <w:p w14:paraId="64843509" w14:textId="77777777" w:rsidR="00017C6D" w:rsidRPr="00017C6D" w:rsidRDefault="00017C6D" w:rsidP="00017C6D">
      <w:pPr>
        <w:numPr>
          <w:ilvl w:val="0"/>
          <w:numId w:val="2"/>
        </w:numPr>
        <w:ind w:left="0" w:firstLine="567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GTIN, </w:t>
      </w:r>
      <w:r w:rsidRPr="00017C6D">
        <w:rPr>
          <w:rFonts w:eastAsia="Times New Roman"/>
          <w:b/>
          <w:bCs/>
          <w:i/>
          <w:iCs/>
          <w:color w:val="1A1A1A"/>
          <w:szCs w:val="30"/>
          <w:bdr w:val="none" w:sz="0" w:space="0" w:color="auto" w:frame="1"/>
          <w:lang w:eastAsia="ru-RU"/>
        </w:rPr>
        <w:t>включая технический GTIN, использованный для формирования упрощенных средств идентификации для маркировки остатков товаров</w:t>
      </w:r>
      <w:r w:rsidRPr="00017C6D">
        <w:rPr>
          <w:rFonts w:eastAsia="Times New Roman"/>
          <w:color w:val="1A1A1A"/>
          <w:szCs w:val="30"/>
          <w:bdr w:val="none" w:sz="0" w:space="0" w:color="auto" w:frame="1"/>
          <w:lang w:eastAsia="ru-RU"/>
        </w:rPr>
        <w:t>.</w:t>
      </w:r>
    </w:p>
    <w:p w14:paraId="3EF3941A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Для реализации 2 способа субъект хозяйствования должен обеспечить загрузку вышеуказанной информации в свою учетную систему о реализованных товарах (вешнюю базу данных о товарах). Так, загрузка может быть осуществлена, как и вручную, так и автоматизированным способом, в том числе путем информационного обмена с другими информационными системами.</w:t>
      </w:r>
    </w:p>
    <w:p w14:paraId="218590A0" w14:textId="77777777" w:rsidR="00017C6D" w:rsidRP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Обращаем внимание, что пунктами 10 и 10-1 Положения № 924/16 не предусмотрена обязанность проведения инвентаризации товаров, подлежащих маркировке, по состоянию на 1 июля 2025 г., а также внесение не позднее 1 июля 2025 г. данных о таких товарах в товароучетную систему, интегрированную с кассовым оборудованием, либо во внутреннюю базу товаров.</w:t>
      </w:r>
    </w:p>
    <w:p w14:paraId="01A22B8C" w14:textId="7F2043A1" w:rsidR="00017C6D" w:rsidRDefault="00017C6D" w:rsidP="00017C6D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017C6D">
        <w:rPr>
          <w:rFonts w:eastAsia="Times New Roman"/>
          <w:color w:val="1A1A1A"/>
          <w:szCs w:val="30"/>
          <w:lang w:eastAsia="ru-RU"/>
        </w:rPr>
        <w:t>Внесение соответствующей информации должно быть обеспечено субъектом хозяйствования в установленные им сроки, но </w:t>
      </w:r>
      <w:r w:rsidRPr="00017C6D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не позднее фактической даты реализации таких товаров</w:t>
      </w:r>
      <w:r w:rsidRPr="00017C6D">
        <w:rPr>
          <w:rFonts w:eastAsia="Times New Roman"/>
          <w:color w:val="1A1A1A"/>
          <w:szCs w:val="30"/>
          <w:lang w:eastAsia="ru-RU"/>
        </w:rPr>
        <w:t>.</w:t>
      </w:r>
    </w:p>
    <w:p w14:paraId="1B013E19" w14:textId="56C9D441" w:rsidR="00B67B4B" w:rsidRDefault="00B67B4B" w:rsidP="00B67B4B">
      <w:pPr>
        <w:autoSpaceDE w:val="0"/>
        <w:autoSpaceDN w:val="0"/>
        <w:adjustRightInd w:val="0"/>
        <w:spacing w:before="120"/>
        <w:ind w:firstLine="709"/>
        <w:jc w:val="both"/>
        <w:rPr>
          <w:rStyle w:val="a5"/>
          <w:rFonts w:eastAsiaTheme="minorHAnsi"/>
          <w:szCs w:val="30"/>
        </w:rPr>
      </w:pPr>
      <w:r w:rsidRPr="00B67B4B">
        <w:rPr>
          <w:rStyle w:val="a5"/>
          <w:rFonts w:eastAsiaTheme="minorHAnsi"/>
          <w:b/>
          <w:bCs/>
          <w:szCs w:val="30"/>
        </w:rPr>
        <w:t>Видеоинструкции</w:t>
      </w:r>
      <w:r w:rsidRPr="00A16C63">
        <w:rPr>
          <w:rStyle w:val="a5"/>
          <w:rFonts w:eastAsiaTheme="minorHAnsi"/>
          <w:szCs w:val="30"/>
        </w:rPr>
        <w:t xml:space="preserve"> по ведению дифференцированного учета при реализации маркированных товаров </w:t>
      </w:r>
      <w:r w:rsidRPr="00B67B4B">
        <w:rPr>
          <w:rStyle w:val="a5"/>
          <w:rFonts w:eastAsiaTheme="minorHAnsi"/>
          <w:b/>
          <w:bCs/>
          <w:szCs w:val="30"/>
        </w:rPr>
        <w:t>с использованием программных касс</w:t>
      </w:r>
      <w:r>
        <w:rPr>
          <w:rStyle w:val="a5"/>
          <w:rFonts w:eastAsiaTheme="minorHAnsi"/>
          <w:szCs w:val="30"/>
        </w:rPr>
        <w:t xml:space="preserve"> размещены по ссылке: </w:t>
      </w:r>
      <w:hyperlink r:id="rId6" w:history="1">
        <w:r w:rsidRPr="00A16C63">
          <w:rPr>
            <w:rStyle w:val="a6"/>
            <w:szCs w:val="30"/>
            <w:lang w:eastAsia="ru-RU"/>
          </w:rPr>
          <w:t>https://info-center.by/services/cashdesks/videoinstrukcii-dlya-polzovatelej-programmnyh-kassovyh-sistem/</w:t>
        </w:r>
      </w:hyperlink>
    </w:p>
    <w:sectPr w:rsidR="00B67B4B" w:rsidSect="00B67B4B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5305"/>
    <w:multiLevelType w:val="multilevel"/>
    <w:tmpl w:val="6196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F019C"/>
    <w:multiLevelType w:val="multilevel"/>
    <w:tmpl w:val="BED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D"/>
    <w:rsid w:val="00017C6D"/>
    <w:rsid w:val="001A0E42"/>
    <w:rsid w:val="001B4AD1"/>
    <w:rsid w:val="001B5D85"/>
    <w:rsid w:val="001C74DC"/>
    <w:rsid w:val="00390083"/>
    <w:rsid w:val="003C29C1"/>
    <w:rsid w:val="00415CB8"/>
    <w:rsid w:val="00533D64"/>
    <w:rsid w:val="006061E8"/>
    <w:rsid w:val="00625907"/>
    <w:rsid w:val="00721695"/>
    <w:rsid w:val="0094746F"/>
    <w:rsid w:val="00A46AA9"/>
    <w:rsid w:val="00B67B4B"/>
    <w:rsid w:val="00D033B7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E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C6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6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C6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4">
    <w:name w:val="Body Text"/>
    <w:basedOn w:val="a"/>
    <w:link w:val="a5"/>
    <w:rsid w:val="00B67B4B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7B4B"/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B67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B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C6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6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C6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4">
    <w:name w:val="Body Text"/>
    <w:basedOn w:val="a"/>
    <w:link w:val="a5"/>
    <w:rsid w:val="00B67B4B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7B4B"/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B67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-center.by/services/cashdesks/videoinstrukcii-dlya-polzovatelej-programmnyh-kassovyh-sist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2025-07-15T12:53:00Z</dcterms:created>
  <dcterms:modified xsi:type="dcterms:W3CDTF">2025-07-15T12:53:00Z</dcterms:modified>
</cp:coreProperties>
</file>