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E3" w:rsidRPr="003704E3" w:rsidRDefault="003704E3" w:rsidP="003704E3">
      <w:pPr>
        <w:spacing w:before="160" w:after="16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b/>
          <w:bCs/>
          <w:caps/>
          <w:color w:val="000000"/>
          <w:sz w:val="24"/>
          <w:szCs w:val="24"/>
          <w:lang w:eastAsia="ru-RU"/>
        </w:rPr>
        <w:t>ПОСТАНОВЛЕНИЕ МИНИСТЕРСТВА ТРУДА И СОЦИАЛЬНОЙ ЗАЩИТЫ РЕСПУБЛИКИ БЕЛАРУСЬ</w:t>
      </w:r>
    </w:p>
    <w:p w:rsidR="003704E3" w:rsidRPr="003704E3" w:rsidRDefault="003704E3" w:rsidP="003704E3">
      <w:pPr>
        <w:spacing w:before="160" w:after="16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704E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29 ноября 2024 г. № 95</w:t>
      </w:r>
    </w:p>
    <w:bookmarkEnd w:id="0"/>
    <w:p w:rsidR="003704E3" w:rsidRPr="003704E3" w:rsidRDefault="003704E3" w:rsidP="003704E3">
      <w:pPr>
        <w:spacing w:before="360" w:after="360" w:line="240" w:lineRule="auto"/>
        <w:ind w:right="2268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3704E3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t>Об изменении постановления Министерства труда и социальной защиты Республики Беларусь от 10 октября 2016 г. № 58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основании пункта 2 статьи 30 Закона Республики Беларусь от 15 июня 2006 г. № 125-З «О занятости населения»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 Внести в постановление Министерства труда и социальной защиты Республики Беларусь от 10 октября 2016 г. № 58 «Об утверждении Инструкции о порядке и условиях трудоустройства безработных для приобретения опыта практической работы с частичной компенсацией нанимателям затрат на оплату труда» следующие изменения: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1.1. название изложить в следующей редакции: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«О порядке компенсации затрат нанимателям и условиях трудоустройства безработных для приобретения опыта практической работы»;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1.2. преамбулу и пункт 1 изложить в следующей редакции: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«На основании пункта 2 статьи 30 Закона Республики Беларусь от 15 июня 2006 г. № 125-З «О занятости населения»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 Утвердить Инструкцию о порядке компенсации затрат нанимателям и условиях трудоустройства безработных для приобретения опыта практической работы (прилагается).»;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1.3. Инструкцию о порядке и условиях трудоустройства безработных для приобретения опыта практической работы с частичной компенсацией нанимателям затрат на оплату труда, утвержденную этим постановлением, изложить в новой редакции (прилагается).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 силу с 1 января 2025 г.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704E3" w:rsidRPr="003704E3" w:rsidTr="00FE0BE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04E3" w:rsidRPr="003704E3" w:rsidRDefault="003704E3" w:rsidP="003704E3">
            <w:pPr>
              <w:spacing w:before="160" w:after="16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4E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04E3" w:rsidRPr="003704E3" w:rsidRDefault="003704E3" w:rsidP="003704E3">
            <w:pPr>
              <w:spacing w:before="160" w:after="16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4E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Н.В.Павлюченко</w:t>
            </w:r>
            <w:proofErr w:type="spellEnd"/>
          </w:p>
        </w:tc>
      </w:tr>
    </w:tbl>
    <w:p w:rsidR="003704E3" w:rsidRPr="003704E3" w:rsidRDefault="003704E3" w:rsidP="003704E3">
      <w:pPr>
        <w:spacing w:before="160" w:after="1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p w:rsidR="003704E3" w:rsidRPr="003704E3" w:rsidRDefault="003704E3" w:rsidP="003704E3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СОГЛАСОВАНО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Министерство финансов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Республики Беларусь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Министерство экономики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Республики Беларусь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lastRenderedPageBreak/>
        <w:t>Министерство образования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Республики Беларусь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Федерация профсоюзов Беларуси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Брестский областной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исполнительный комитет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Витебский областной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исполнительный комитет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Гомельский областной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исполнительный комитет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Гродненский областной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исполнительный комитет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Минский областной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исполнительный комитет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Могилевский областной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исполнительный комитет</w:t>
      </w:r>
    </w:p>
    <w:p w:rsidR="003704E3" w:rsidRPr="003704E3" w:rsidRDefault="003704E3" w:rsidP="003704E3">
      <w:pPr>
        <w:spacing w:after="160" w:line="240" w:lineRule="auto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Минский городской</w:t>
      </w:r>
      <w:r w:rsidRPr="003704E3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исполнительный комитет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704E3" w:rsidRPr="003704E3" w:rsidTr="00FE0BEF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04E3" w:rsidRPr="003704E3" w:rsidRDefault="003704E3" w:rsidP="003704E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</w:pP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04E3" w:rsidRPr="003704E3" w:rsidRDefault="003704E3" w:rsidP="003704E3">
            <w:pPr>
              <w:spacing w:after="12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</w:pP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t>УТВЕРЖДЕНО</w:t>
            </w:r>
          </w:p>
          <w:p w:rsidR="003704E3" w:rsidRPr="003704E3" w:rsidRDefault="003704E3" w:rsidP="003704E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</w:pP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t>Постановление</w:t>
            </w: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br/>
              <w:t>Министерства труда</w:t>
            </w: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br/>
              <w:t>и социальной защиты</w:t>
            </w: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br/>
              <w:t>Республики Беларусь</w:t>
            </w:r>
          </w:p>
          <w:p w:rsidR="003704E3" w:rsidRPr="003704E3" w:rsidRDefault="003704E3" w:rsidP="003704E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</w:pP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t>10.10.2016 № 58</w:t>
            </w:r>
          </w:p>
          <w:p w:rsidR="003704E3" w:rsidRPr="003704E3" w:rsidRDefault="003704E3" w:rsidP="003704E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</w:pP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t>(в редакции постановления</w:t>
            </w: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br/>
              <w:t>Министерства труда</w:t>
            </w: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br/>
              <w:t xml:space="preserve">и социальной защиты </w:t>
            </w: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br/>
              <w:t>Республики Беларусь</w:t>
            </w:r>
          </w:p>
          <w:p w:rsidR="003704E3" w:rsidRPr="003704E3" w:rsidRDefault="003704E3" w:rsidP="003704E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</w:pPr>
            <w:r w:rsidRPr="003704E3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t>29.11.2024 № 95)</w:t>
            </w:r>
          </w:p>
        </w:tc>
      </w:tr>
    </w:tbl>
    <w:p w:rsidR="003704E3" w:rsidRPr="003704E3" w:rsidRDefault="003704E3" w:rsidP="003704E3">
      <w:pPr>
        <w:spacing w:before="360" w:after="36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3704E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компенсации затрат нанимателям и условиях трудоустройства безработных для приобретения опыта практической работы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 Настоящая Инструкция определяет порядок компенсации затрат нанимателям и условия трудоустройства безработных для приобретения опыта практической работы по полученной должности служащего (профессии рабочего), специальности, квалификации (далее – должность, профессия (специальность) с заключением срочных трудовых договоров (за исключением контрактов) в соответствии с законодательством о труде.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 Трудоустройство безработных для приобретения опыта практической работы по полученной должности, профессии (специальности) может осуществляться в организациях независимо от форм собственности, за исключением организаций, функционирование которых осуществляется за счет средств бюджета, и у индивидуальных предпринимателей (далее – наниматели).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 Наниматели, предоставляющие рабочие места для трудоустройства безработных из категорий, определенных в пункте 1 статьи 30 Закона Республики Беларусь </w:t>
      </w: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«О занятости населения» (далее – Закон), имеют право на частичную компенсацию затрат на оплату их труда.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 Нанимателям компенсируются: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затраты нанимателей на выплату заработной платы гражданам Республики Беларусь, иностранным гражданам и лицам без гражданства, постоянно проживающим в Республике Беларусь, иностранным гражданам и лицам без гражданства, которым предоставлены статус беженца или убежище в Республике Беларусь (далее, если не указано иное, – граждане), трудоустроенным для приобретения опыта практической работы, с учетом отработанного времени в размере, не превышающем минимальную заработную плату, действующую в период, за который произведено начисление заработной платы;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сумма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плату, указанную в абзаце втором настоящего пункта.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 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районного исполнительного комитета (далее – орган по труду, занятости и социальной защите) на основе анализа занятости населения и прогноза состояния рынка труда, состава и уровня образования безработных определяют потребность в рабочих местах для трудоустройства безработных для приобретения ими опыта практической работы по полученной должности, профессии (специальности) и объемы финансирования, направляемые на частичную компенсацию затрат по оплате труда таких лиц.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6. Орган по труду, занятости и социальной защите проводит с нанимателями, заявившими сведения о наличии свободных рабочих мест (вакансий), подходящих для трудоустройства безработных, указанных в пункте 1 статьи 30 Закона, переговоры о возможности их трудоустройства. При согласии нанимателя орган по труду, занятости и социальной защите направляет к нему для трудоустройства безработных, профессиональные качества которых соответствуют требованиям данного нанимателя.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7. С нанимателем, давшим согласие на трудоустройство конкретного безработного, орган по труду, занятости и социальной защите заключает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труда, в котором в качестве обязательных условий отражаются: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наименования сторон, заключивших договор;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место и дата заключения договора;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 договора;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фамилия, собственное имя, отчество (если таковое имеется) безработного, срок, на который он принимается на работу, и должность служащего (профессия рабочего), по которой он трудоустраивается;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сумма и цели использования предоставляемых денежных средств;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права и обязанности сторон;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сроки предоставления копии приказа о приеме на работу, об увольнении, о досрочном расторжении срочного трудового договора с гражданином, трудоустроенным для приобретения опыта практической работы по полученной должности, профессии (специальности) в орган по труду, занятости и социальной защите;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ответственность сторон за нарушение условий договора;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срок действия договора;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обязанность осуществления органом по труду, занятости и социальной защите контроля за исполнением условий договора;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порядок рассмотрения споров;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порядок изменения и прекращения действия договора;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порядок компенсации затрат, предусматривающий предоставление нанимателем в орган по труду, занятости и социальной защите справки о затратах по оплате труда этих граждан с указанием даты выплаты заработной платы, ее размера и периода, за который начислена заработная плата, и уплате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 (далее – справка о затратах), в пятидневный срок с установленного дня для окончательной выплаты заработной платы за расчетный месяц гражданина, трудоустроенного для приобретения опыта практической работы по полученной должности, профессии (специальности).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8. С безработными, направленными органом по труду, занятости и социальной защите для трудоустройства для приобретения опыта практической работы по полученной должности, профессии (специальности) на условиях, определенных настоящей Инструкцией, наниматели заключают срочные трудовые договоры сроком от двух до шести месяцев в порядке, установленном законодательством о труде.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9. С безработными, направленными органом по труду, занятости и социальной защите для приобретения опыта практической работы по полученной должности, профессии (специальности) на рабочие места, находящиеся на территориях с напряженной ситуацией на рынке труда, наниматели заключают срочные трудовые договоры (за исключением контрактов) сроком на один год, в течение которого гражданами приобретается опыт практической работы.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10. Компенсация затрат, указанных в пункте 4 настоящей Инструкции, производится на основании справки о затратах.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11. Орган по труду, занятости и социальной защите в пятидневный срок с даты получения справки о затратах представляет в территориальные органы государственного казначейства платежные документы для перечисления денежных средств на текущий (расчетный) банковский счет нанимателя в целях частичной компенсации ему затрат, указанных в справке о затратах.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12. Орган по труду, занятости и социальной защите может досрочно расторгнуть заключенный с нанимателем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 в случаях: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невыполнения нанимателем условий, предусмотренных договором;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нахождения организации в процессах ликвидации, реорганизации (за исключением юридического лица, к которому присоединяется другое юридическое лицо), в процедуре несостоятельности или банкротства.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случаях, предусмотренных в части первой настоящего пункта, трудовые отношения с гражданином продолжаются на прежних условиях.</w:t>
      </w:r>
    </w:p>
    <w:p w:rsidR="003704E3" w:rsidRPr="003704E3" w:rsidRDefault="003704E3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0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13. В случае досрочного расторжения срочного трудового договора с гражданином, трудоустроенным для приобретения опыта практической работы по полученной должности, профессии (специальности), по требованию работника в связи с нарушением нанимателем законодательства о труде затраты нанимателя по оплате труда данного гражданина не компенсируются.</w:t>
      </w:r>
    </w:p>
    <w:p w:rsidR="008800D0" w:rsidRDefault="008800D0" w:rsidP="003704E3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8800D0" w:rsidSect="00B7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B8"/>
    <w:rsid w:val="00051CCC"/>
    <w:rsid w:val="001E6DB8"/>
    <w:rsid w:val="003704E3"/>
    <w:rsid w:val="008800D0"/>
    <w:rsid w:val="00971755"/>
    <w:rsid w:val="009A63AA"/>
    <w:rsid w:val="00B71906"/>
    <w:rsid w:val="00E6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6C4A"/>
  <w15:docId w15:val="{52F9E050-FC0D-408A-B51D-8152589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0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2025-03-24T05:50:00Z</dcterms:created>
  <dcterms:modified xsi:type="dcterms:W3CDTF">2025-03-24T05:50:00Z</dcterms:modified>
</cp:coreProperties>
</file>